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VOTO PARTICULAR DEL COMISIONADO JOSÉ GUADA</w:t>
      </w:r>
      <w:r w:rsidR="00D72985" w:rsidRPr="0009123A">
        <w:rPr>
          <w:rFonts w:ascii="Palatino Linotype" w:hAnsi="Palatino Linotype" w:cs="Arial"/>
          <w:b/>
          <w:sz w:val="24"/>
          <w:szCs w:val="24"/>
        </w:rPr>
        <w:t>LUPE LUNA HERNÁNDEZ DEL RECURSO</w:t>
      </w:r>
      <w:r w:rsidR="00BF3534" w:rsidRPr="0009123A">
        <w:rPr>
          <w:rFonts w:ascii="Palatino Linotype" w:hAnsi="Palatino Linotype" w:cs="Arial"/>
          <w:b/>
          <w:sz w:val="24"/>
          <w:szCs w:val="24"/>
        </w:rPr>
        <w:t xml:space="preserve"> DE REVISIÓN </w:t>
      </w:r>
      <w:r w:rsidR="00777181" w:rsidRPr="0009123A">
        <w:rPr>
          <w:rFonts w:ascii="Palatino Linotype" w:hAnsi="Palatino Linotype" w:cs="Arial"/>
          <w:b/>
          <w:sz w:val="24"/>
          <w:szCs w:val="24"/>
        </w:rPr>
        <w:t>04394</w:t>
      </w:r>
      <w:r w:rsidR="00C7250F" w:rsidRPr="0009123A">
        <w:rPr>
          <w:rFonts w:ascii="Palatino Linotype" w:hAnsi="Palatino Linotype" w:cs="Arial"/>
          <w:b/>
          <w:sz w:val="24"/>
          <w:szCs w:val="24"/>
        </w:rPr>
        <w:t>/INFOEM/IP/RR/2018</w:t>
      </w:r>
      <w:r w:rsidR="0000525F" w:rsidRPr="0009123A">
        <w:rPr>
          <w:rFonts w:ascii="Palatino Linotype" w:hAnsi="Palatino Linotype" w:cs="Arial"/>
          <w:b/>
          <w:sz w:val="24"/>
          <w:szCs w:val="24"/>
        </w:rPr>
        <w:t>.</w:t>
      </w:r>
    </w:p>
    <w:p w:rsidR="0082452E" w:rsidRPr="0009123A" w:rsidRDefault="0082452E"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b/>
          <w:sz w:val="24"/>
          <w:szCs w:val="24"/>
        </w:rPr>
      </w:pPr>
      <w:r w:rsidRPr="0009123A">
        <w:rPr>
          <w:rFonts w:ascii="Palatino Linotype" w:hAnsi="Palatino Linotype" w:cs="Arial"/>
          <w:b/>
          <w:sz w:val="24"/>
          <w:szCs w:val="24"/>
        </w:rPr>
        <w:t>Líneas argumentativas:</w:t>
      </w:r>
    </w:p>
    <w:p w:rsidR="00902248" w:rsidRPr="0009123A" w:rsidRDefault="00902248" w:rsidP="00E34F08">
      <w:pPr>
        <w:spacing w:after="0" w:line="24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Pr="0009123A" w:rsidRDefault="00902248" w:rsidP="00E34F08">
      <w:pPr>
        <w:spacing w:after="0" w:line="24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La figura de actos consentidos no debe ser invocada en el derecho humano fundamental de acceder a la información pública gubernamental.</w:t>
      </w:r>
    </w:p>
    <w:p w:rsidR="0001046D" w:rsidRPr="0009123A" w:rsidRDefault="0001046D" w:rsidP="00E34F08">
      <w:pPr>
        <w:spacing w:after="0" w:line="24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09123A" w:rsidRDefault="0046491C" w:rsidP="00E34F08">
      <w:pPr>
        <w:spacing w:after="0" w:line="24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09123A" w:rsidRDefault="0046491C" w:rsidP="00E34F08">
      <w:pPr>
        <w:spacing w:after="0" w:line="24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82452E" w:rsidRPr="0009123A" w:rsidRDefault="0082452E"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lastRenderedPageBreak/>
        <w:t>Los órganos del Estado, tienen el deber que tienen dentro del margen de sus atribuciones, de prevenir violaciones a los derechos fundamentales.</w:t>
      </w:r>
    </w:p>
    <w:p w:rsidR="00702BD9" w:rsidRPr="0009123A" w:rsidRDefault="00702BD9" w:rsidP="00E34F08">
      <w:pPr>
        <w:spacing w:after="0" w:line="360" w:lineRule="auto"/>
        <w:jc w:val="both"/>
        <w:rPr>
          <w:rFonts w:ascii="Palatino Linotype" w:hAnsi="Palatino Linotype" w:cs="Arial"/>
          <w:sz w:val="24"/>
          <w:szCs w:val="24"/>
        </w:rPr>
      </w:pPr>
    </w:p>
    <w:p w:rsidR="009A5396" w:rsidRPr="0009123A" w:rsidRDefault="009A5396" w:rsidP="00E34F08">
      <w:pPr>
        <w:spacing w:after="0" w:line="360" w:lineRule="auto"/>
        <w:jc w:val="both"/>
        <w:rPr>
          <w:rFonts w:ascii="Palatino Linotype" w:hAnsi="Palatino Linotype" w:cs="Arial"/>
          <w:sz w:val="24"/>
          <w:szCs w:val="24"/>
        </w:rPr>
      </w:pPr>
    </w:p>
    <w:p w:rsidR="0046491C" w:rsidRPr="0009123A" w:rsidRDefault="0046491C" w:rsidP="00E34F08">
      <w:pPr>
        <w:spacing w:after="0" w:line="360" w:lineRule="auto"/>
        <w:jc w:val="both"/>
        <w:rPr>
          <w:rFonts w:ascii="Palatino Linotype" w:hAnsi="Palatino Linotype" w:cs="Arial"/>
          <w:sz w:val="24"/>
          <w:szCs w:val="24"/>
        </w:rPr>
      </w:pPr>
      <w:r w:rsidRPr="0009123A">
        <w:rPr>
          <w:rFonts w:ascii="Palatino Linotype" w:hAnsi="Palatino Linotype" w:cs="Arial"/>
          <w:b/>
          <w:sz w:val="24"/>
          <w:szCs w:val="24"/>
        </w:rPr>
        <w:t>Índice</w:t>
      </w:r>
    </w:p>
    <w:sdt>
      <w:sdtPr>
        <w:rPr>
          <w:rFonts w:ascii="Palatino Linotype" w:eastAsiaTheme="minorHAnsi" w:hAnsi="Palatino Linotype" w:cstheme="minorBidi"/>
          <w:color w:val="auto"/>
          <w:sz w:val="24"/>
          <w:szCs w:val="24"/>
          <w:lang w:val="es-ES" w:eastAsia="en-US"/>
        </w:rPr>
        <w:id w:val="-1628690016"/>
        <w:docPartObj>
          <w:docPartGallery w:val="Table of Contents"/>
          <w:docPartUnique/>
        </w:docPartObj>
      </w:sdtPr>
      <w:sdtEndPr>
        <w:rPr>
          <w:b/>
          <w:bCs/>
        </w:rPr>
      </w:sdtEndPr>
      <w:sdtContent>
        <w:p w:rsidR="0046491C" w:rsidRPr="0009123A" w:rsidRDefault="0046491C" w:rsidP="00E34F08">
          <w:pPr>
            <w:pStyle w:val="TtulodeTDC"/>
            <w:spacing w:line="360" w:lineRule="auto"/>
            <w:rPr>
              <w:rFonts w:ascii="Palatino Linotype" w:hAnsi="Palatino Linotype"/>
              <w:sz w:val="24"/>
              <w:szCs w:val="24"/>
            </w:rPr>
          </w:pPr>
        </w:p>
        <w:p w:rsidR="00B8686D" w:rsidRPr="0009123A" w:rsidRDefault="0046491C">
          <w:pPr>
            <w:pStyle w:val="TDC1"/>
            <w:tabs>
              <w:tab w:val="left" w:pos="440"/>
              <w:tab w:val="right" w:leader="dot" w:pos="8828"/>
            </w:tabs>
            <w:rPr>
              <w:rFonts w:ascii="Palatino Linotype" w:eastAsiaTheme="minorEastAsia" w:hAnsi="Palatino Linotype"/>
              <w:noProof/>
              <w:sz w:val="24"/>
              <w:szCs w:val="24"/>
              <w:lang w:eastAsia="es-MX"/>
            </w:rPr>
          </w:pPr>
          <w:r w:rsidRPr="0009123A">
            <w:rPr>
              <w:rFonts w:ascii="Palatino Linotype" w:hAnsi="Palatino Linotype"/>
              <w:sz w:val="24"/>
              <w:szCs w:val="24"/>
            </w:rPr>
            <w:fldChar w:fldCharType="begin"/>
          </w:r>
          <w:r w:rsidRPr="0009123A">
            <w:rPr>
              <w:rFonts w:ascii="Palatino Linotype" w:hAnsi="Palatino Linotype"/>
              <w:sz w:val="24"/>
              <w:szCs w:val="24"/>
            </w:rPr>
            <w:instrText xml:space="preserve"> TOC \o "1-3" \h \z \u </w:instrText>
          </w:r>
          <w:r w:rsidRPr="0009123A">
            <w:rPr>
              <w:rFonts w:ascii="Palatino Linotype" w:hAnsi="Palatino Linotype"/>
              <w:sz w:val="24"/>
              <w:szCs w:val="24"/>
            </w:rPr>
            <w:fldChar w:fldCharType="separate"/>
          </w:r>
          <w:hyperlink w:anchor="_Toc534976971" w:history="1">
            <w:r w:rsidR="00B8686D" w:rsidRPr="0009123A">
              <w:rPr>
                <w:rStyle w:val="Hipervnculo"/>
                <w:rFonts w:ascii="Palatino Linotype" w:hAnsi="Palatino Linotype"/>
                <w:b/>
                <w:noProof/>
                <w:sz w:val="24"/>
                <w:szCs w:val="24"/>
              </w:rPr>
              <w:t>I.</w:t>
            </w:r>
            <w:r w:rsidR="00B8686D" w:rsidRPr="0009123A">
              <w:rPr>
                <w:rFonts w:ascii="Palatino Linotype" w:eastAsiaTheme="minorEastAsia" w:hAnsi="Palatino Linotype"/>
                <w:noProof/>
                <w:sz w:val="24"/>
                <w:szCs w:val="24"/>
                <w:lang w:eastAsia="es-MX"/>
              </w:rPr>
              <w:tab/>
            </w:r>
            <w:r w:rsidR="00B8686D" w:rsidRPr="0009123A">
              <w:rPr>
                <w:rStyle w:val="Hipervnculo"/>
                <w:rFonts w:ascii="Palatino Linotype" w:hAnsi="Palatino Linotype"/>
                <w:b/>
                <w:noProof/>
                <w:sz w:val="24"/>
                <w:szCs w:val="24"/>
              </w:rPr>
              <w:t>Consideraciones Generales.</w:t>
            </w:r>
            <w:r w:rsidR="00B8686D" w:rsidRPr="0009123A">
              <w:rPr>
                <w:rFonts w:ascii="Palatino Linotype" w:hAnsi="Palatino Linotype"/>
                <w:noProof/>
                <w:webHidden/>
                <w:sz w:val="24"/>
                <w:szCs w:val="24"/>
              </w:rPr>
              <w:tab/>
            </w:r>
            <w:r w:rsidR="00B8686D" w:rsidRPr="0009123A">
              <w:rPr>
                <w:rFonts w:ascii="Palatino Linotype" w:hAnsi="Palatino Linotype"/>
                <w:noProof/>
                <w:webHidden/>
                <w:sz w:val="24"/>
                <w:szCs w:val="24"/>
              </w:rPr>
              <w:fldChar w:fldCharType="begin"/>
            </w:r>
            <w:r w:rsidR="00B8686D" w:rsidRPr="0009123A">
              <w:rPr>
                <w:rFonts w:ascii="Palatino Linotype" w:hAnsi="Palatino Linotype"/>
                <w:noProof/>
                <w:webHidden/>
                <w:sz w:val="24"/>
                <w:szCs w:val="24"/>
              </w:rPr>
              <w:instrText xml:space="preserve"> PAGEREF _Toc534976971 \h </w:instrText>
            </w:r>
            <w:r w:rsidR="00B8686D" w:rsidRPr="0009123A">
              <w:rPr>
                <w:rFonts w:ascii="Palatino Linotype" w:hAnsi="Palatino Linotype"/>
                <w:noProof/>
                <w:webHidden/>
                <w:sz w:val="24"/>
                <w:szCs w:val="24"/>
              </w:rPr>
            </w:r>
            <w:r w:rsidR="00B8686D" w:rsidRPr="0009123A">
              <w:rPr>
                <w:rFonts w:ascii="Palatino Linotype" w:hAnsi="Palatino Linotype"/>
                <w:noProof/>
                <w:webHidden/>
                <w:sz w:val="24"/>
                <w:szCs w:val="24"/>
              </w:rPr>
              <w:fldChar w:fldCharType="separate"/>
            </w:r>
            <w:r w:rsidR="00B8686D" w:rsidRPr="0009123A">
              <w:rPr>
                <w:rFonts w:ascii="Palatino Linotype" w:hAnsi="Palatino Linotype"/>
                <w:noProof/>
                <w:webHidden/>
                <w:sz w:val="24"/>
                <w:szCs w:val="24"/>
              </w:rPr>
              <w:t>2</w:t>
            </w:r>
            <w:r w:rsidR="00B8686D" w:rsidRPr="0009123A">
              <w:rPr>
                <w:rFonts w:ascii="Palatino Linotype" w:hAnsi="Palatino Linotype"/>
                <w:noProof/>
                <w:webHidden/>
                <w:sz w:val="24"/>
                <w:szCs w:val="24"/>
              </w:rPr>
              <w:fldChar w:fldCharType="end"/>
            </w:r>
          </w:hyperlink>
        </w:p>
        <w:p w:rsidR="00B8686D" w:rsidRPr="0009123A" w:rsidRDefault="000C39C6">
          <w:pPr>
            <w:pStyle w:val="TDC1"/>
            <w:tabs>
              <w:tab w:val="left" w:pos="660"/>
              <w:tab w:val="right" w:leader="dot" w:pos="8828"/>
            </w:tabs>
            <w:rPr>
              <w:rFonts w:ascii="Palatino Linotype" w:eastAsiaTheme="minorEastAsia" w:hAnsi="Palatino Linotype"/>
              <w:noProof/>
              <w:sz w:val="24"/>
              <w:szCs w:val="24"/>
              <w:lang w:eastAsia="es-MX"/>
            </w:rPr>
          </w:pPr>
          <w:hyperlink w:anchor="_Toc534976972" w:history="1">
            <w:r w:rsidR="00B8686D" w:rsidRPr="0009123A">
              <w:rPr>
                <w:rStyle w:val="Hipervnculo"/>
                <w:rFonts w:ascii="Palatino Linotype" w:hAnsi="Palatino Linotype"/>
                <w:b/>
                <w:noProof/>
                <w:sz w:val="24"/>
                <w:szCs w:val="24"/>
              </w:rPr>
              <w:t>II.</w:t>
            </w:r>
            <w:r w:rsidR="00B8686D" w:rsidRPr="0009123A">
              <w:rPr>
                <w:rFonts w:ascii="Palatino Linotype" w:eastAsiaTheme="minorEastAsia" w:hAnsi="Palatino Linotype"/>
                <w:noProof/>
                <w:sz w:val="24"/>
                <w:szCs w:val="24"/>
                <w:lang w:eastAsia="es-MX"/>
              </w:rPr>
              <w:tab/>
            </w:r>
            <w:r w:rsidR="00B8686D" w:rsidRPr="0009123A">
              <w:rPr>
                <w:rStyle w:val="Hipervnculo"/>
                <w:rFonts w:ascii="Palatino Linotype" w:hAnsi="Palatino Linotype"/>
                <w:b/>
                <w:noProof/>
                <w:sz w:val="24"/>
                <w:szCs w:val="24"/>
              </w:rPr>
              <w:t>De los requerimientos planteados en el recurso de revisión.</w:t>
            </w:r>
            <w:r w:rsidR="00B8686D" w:rsidRPr="0009123A">
              <w:rPr>
                <w:rFonts w:ascii="Palatino Linotype" w:hAnsi="Palatino Linotype"/>
                <w:noProof/>
                <w:webHidden/>
                <w:sz w:val="24"/>
                <w:szCs w:val="24"/>
              </w:rPr>
              <w:tab/>
            </w:r>
            <w:r w:rsidR="00B8686D" w:rsidRPr="0009123A">
              <w:rPr>
                <w:rFonts w:ascii="Palatino Linotype" w:hAnsi="Palatino Linotype"/>
                <w:noProof/>
                <w:webHidden/>
                <w:sz w:val="24"/>
                <w:szCs w:val="24"/>
              </w:rPr>
              <w:fldChar w:fldCharType="begin"/>
            </w:r>
            <w:r w:rsidR="00B8686D" w:rsidRPr="0009123A">
              <w:rPr>
                <w:rFonts w:ascii="Palatino Linotype" w:hAnsi="Palatino Linotype"/>
                <w:noProof/>
                <w:webHidden/>
                <w:sz w:val="24"/>
                <w:szCs w:val="24"/>
              </w:rPr>
              <w:instrText xml:space="preserve"> PAGEREF _Toc534976972 \h </w:instrText>
            </w:r>
            <w:r w:rsidR="00B8686D" w:rsidRPr="0009123A">
              <w:rPr>
                <w:rFonts w:ascii="Palatino Linotype" w:hAnsi="Palatino Linotype"/>
                <w:noProof/>
                <w:webHidden/>
                <w:sz w:val="24"/>
                <w:szCs w:val="24"/>
              </w:rPr>
            </w:r>
            <w:r w:rsidR="00B8686D" w:rsidRPr="0009123A">
              <w:rPr>
                <w:rFonts w:ascii="Palatino Linotype" w:hAnsi="Palatino Linotype"/>
                <w:noProof/>
                <w:webHidden/>
                <w:sz w:val="24"/>
                <w:szCs w:val="24"/>
              </w:rPr>
              <w:fldChar w:fldCharType="separate"/>
            </w:r>
            <w:r w:rsidR="00B8686D" w:rsidRPr="0009123A">
              <w:rPr>
                <w:rFonts w:ascii="Palatino Linotype" w:hAnsi="Palatino Linotype"/>
                <w:noProof/>
                <w:webHidden/>
                <w:sz w:val="24"/>
                <w:szCs w:val="24"/>
              </w:rPr>
              <w:t>3</w:t>
            </w:r>
            <w:r w:rsidR="00B8686D" w:rsidRPr="0009123A">
              <w:rPr>
                <w:rFonts w:ascii="Palatino Linotype" w:hAnsi="Palatino Linotype"/>
                <w:noProof/>
                <w:webHidden/>
                <w:sz w:val="24"/>
                <w:szCs w:val="24"/>
              </w:rPr>
              <w:fldChar w:fldCharType="end"/>
            </w:r>
          </w:hyperlink>
        </w:p>
        <w:p w:rsidR="00B8686D" w:rsidRPr="0009123A" w:rsidRDefault="000C39C6">
          <w:pPr>
            <w:pStyle w:val="TDC1"/>
            <w:tabs>
              <w:tab w:val="left" w:pos="660"/>
              <w:tab w:val="right" w:leader="dot" w:pos="8828"/>
            </w:tabs>
            <w:rPr>
              <w:rFonts w:ascii="Palatino Linotype" w:eastAsiaTheme="minorEastAsia" w:hAnsi="Palatino Linotype"/>
              <w:noProof/>
              <w:sz w:val="24"/>
              <w:szCs w:val="24"/>
              <w:lang w:eastAsia="es-MX"/>
            </w:rPr>
          </w:pPr>
          <w:hyperlink w:anchor="_Toc534976973" w:history="1">
            <w:r w:rsidR="00B8686D" w:rsidRPr="0009123A">
              <w:rPr>
                <w:rStyle w:val="Hipervnculo"/>
                <w:rFonts w:ascii="Palatino Linotype" w:hAnsi="Palatino Linotype"/>
                <w:b/>
                <w:noProof/>
                <w:sz w:val="24"/>
                <w:szCs w:val="24"/>
              </w:rPr>
              <w:t>III.</w:t>
            </w:r>
            <w:r w:rsidR="00B8686D" w:rsidRPr="0009123A">
              <w:rPr>
                <w:rFonts w:ascii="Palatino Linotype" w:eastAsiaTheme="minorEastAsia" w:hAnsi="Palatino Linotype"/>
                <w:noProof/>
                <w:sz w:val="24"/>
                <w:szCs w:val="24"/>
                <w:lang w:eastAsia="es-MX"/>
              </w:rPr>
              <w:tab/>
            </w:r>
            <w:r w:rsidR="00B8686D" w:rsidRPr="0009123A">
              <w:rPr>
                <w:rStyle w:val="Hipervnculo"/>
                <w:rFonts w:ascii="Palatino Linotype" w:hAnsi="Palatino Linotype"/>
                <w:b/>
                <w:noProof/>
                <w:sz w:val="24"/>
                <w:szCs w:val="24"/>
              </w:rPr>
              <w:t>Los actos consentidos no deben invocarse en el derecho fundamental de acceder a la información pública gubernamental.</w:t>
            </w:r>
            <w:r w:rsidR="00B8686D" w:rsidRPr="0009123A">
              <w:rPr>
                <w:rFonts w:ascii="Palatino Linotype" w:hAnsi="Palatino Linotype"/>
                <w:noProof/>
                <w:webHidden/>
                <w:sz w:val="24"/>
                <w:szCs w:val="24"/>
              </w:rPr>
              <w:tab/>
            </w:r>
            <w:r w:rsidR="00B8686D" w:rsidRPr="0009123A">
              <w:rPr>
                <w:rFonts w:ascii="Palatino Linotype" w:hAnsi="Palatino Linotype"/>
                <w:noProof/>
                <w:webHidden/>
                <w:sz w:val="24"/>
                <w:szCs w:val="24"/>
              </w:rPr>
              <w:fldChar w:fldCharType="begin"/>
            </w:r>
            <w:r w:rsidR="00B8686D" w:rsidRPr="0009123A">
              <w:rPr>
                <w:rFonts w:ascii="Palatino Linotype" w:hAnsi="Palatino Linotype"/>
                <w:noProof/>
                <w:webHidden/>
                <w:sz w:val="24"/>
                <w:szCs w:val="24"/>
              </w:rPr>
              <w:instrText xml:space="preserve"> PAGEREF _Toc534976973 \h </w:instrText>
            </w:r>
            <w:r w:rsidR="00B8686D" w:rsidRPr="0009123A">
              <w:rPr>
                <w:rFonts w:ascii="Palatino Linotype" w:hAnsi="Palatino Linotype"/>
                <w:noProof/>
                <w:webHidden/>
                <w:sz w:val="24"/>
                <w:szCs w:val="24"/>
              </w:rPr>
            </w:r>
            <w:r w:rsidR="00B8686D" w:rsidRPr="0009123A">
              <w:rPr>
                <w:rFonts w:ascii="Palatino Linotype" w:hAnsi="Palatino Linotype"/>
                <w:noProof/>
                <w:webHidden/>
                <w:sz w:val="24"/>
                <w:szCs w:val="24"/>
              </w:rPr>
              <w:fldChar w:fldCharType="separate"/>
            </w:r>
            <w:r w:rsidR="00B8686D" w:rsidRPr="0009123A">
              <w:rPr>
                <w:rFonts w:ascii="Palatino Linotype" w:hAnsi="Palatino Linotype"/>
                <w:noProof/>
                <w:webHidden/>
                <w:sz w:val="24"/>
                <w:szCs w:val="24"/>
              </w:rPr>
              <w:t>7</w:t>
            </w:r>
            <w:r w:rsidR="00B8686D" w:rsidRPr="0009123A">
              <w:rPr>
                <w:rFonts w:ascii="Palatino Linotype" w:hAnsi="Palatino Linotype"/>
                <w:noProof/>
                <w:webHidden/>
                <w:sz w:val="24"/>
                <w:szCs w:val="24"/>
              </w:rPr>
              <w:fldChar w:fldCharType="end"/>
            </w:r>
          </w:hyperlink>
        </w:p>
        <w:p w:rsidR="0046491C" w:rsidRPr="0009123A" w:rsidRDefault="0046491C" w:rsidP="00E34F08">
          <w:pPr>
            <w:spacing w:line="360" w:lineRule="auto"/>
            <w:rPr>
              <w:rFonts w:ascii="Palatino Linotype" w:hAnsi="Palatino Linotype"/>
              <w:sz w:val="24"/>
              <w:szCs w:val="24"/>
            </w:rPr>
          </w:pPr>
          <w:r w:rsidRPr="0009123A">
            <w:rPr>
              <w:rFonts w:ascii="Palatino Linotype" w:hAnsi="Palatino Linotype"/>
              <w:b/>
              <w:bCs/>
              <w:sz w:val="24"/>
              <w:szCs w:val="24"/>
              <w:lang w:val="es-ES"/>
            </w:rPr>
            <w:fldChar w:fldCharType="end"/>
          </w:r>
        </w:p>
      </w:sdtContent>
    </w:sdt>
    <w:p w:rsidR="00072966" w:rsidRPr="0009123A" w:rsidRDefault="00072966" w:rsidP="00072966">
      <w:pPr>
        <w:pStyle w:val="Ttulo1"/>
        <w:spacing w:line="360" w:lineRule="auto"/>
        <w:rPr>
          <w:rFonts w:ascii="Palatino Linotype" w:hAnsi="Palatino Linotype"/>
          <w:b/>
          <w:color w:val="auto"/>
          <w:sz w:val="24"/>
          <w:szCs w:val="24"/>
        </w:rPr>
      </w:pPr>
    </w:p>
    <w:p w:rsidR="00702BD9" w:rsidRPr="0009123A" w:rsidRDefault="00702BD9" w:rsidP="00702BD9">
      <w:pPr>
        <w:rPr>
          <w:rFonts w:ascii="Palatino Linotype" w:hAnsi="Palatino Linotype"/>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0" w:name="_Toc534976971"/>
      <w:r w:rsidRPr="0009123A">
        <w:rPr>
          <w:rFonts w:ascii="Palatino Linotype" w:hAnsi="Palatino Linotype"/>
          <w:b/>
          <w:color w:val="auto"/>
          <w:sz w:val="24"/>
          <w:szCs w:val="24"/>
        </w:rPr>
        <w:t>Consideraciones Generales.</w:t>
      </w:r>
      <w:bookmarkEnd w:id="0"/>
    </w:p>
    <w:p w:rsidR="0046491C" w:rsidRPr="0009123A" w:rsidRDefault="0046491C" w:rsidP="00E34F08">
      <w:pPr>
        <w:pStyle w:val="Prrafodelista"/>
        <w:spacing w:after="0" w:line="360" w:lineRule="auto"/>
        <w:ind w:left="1080"/>
        <w:jc w:val="both"/>
        <w:rPr>
          <w:rFonts w:ascii="Palatino Linotype" w:hAnsi="Palatino Linotype" w:cs="Arial"/>
          <w:b/>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eastAsia="Times New Roman" w:hAnsi="Palatino Linotype" w:cs="Arial"/>
          <w:sz w:val="24"/>
          <w:szCs w:val="24"/>
          <w:lang w:val="es-ES_tradnl"/>
        </w:rPr>
        <w:t xml:space="preserve">He concurrido con mi </w:t>
      </w:r>
      <w:r w:rsidR="00D33AF9" w:rsidRPr="0009123A">
        <w:rPr>
          <w:rFonts w:ascii="Palatino Linotype" w:eastAsia="Times New Roman" w:hAnsi="Palatino Linotype" w:cs="Arial"/>
          <w:sz w:val="24"/>
          <w:szCs w:val="24"/>
          <w:lang w:val="es-ES_tradnl"/>
        </w:rPr>
        <w:t>voto</w:t>
      </w:r>
      <w:r w:rsidRPr="0009123A">
        <w:rPr>
          <w:rFonts w:ascii="Palatino Linotype" w:eastAsia="Times New Roman" w:hAnsi="Palatino Linotype" w:cs="Arial"/>
          <w:sz w:val="24"/>
          <w:szCs w:val="24"/>
          <w:lang w:val="es-ES_tradnl"/>
        </w:rPr>
        <w:t xml:space="preserve"> particular de la presente resolución emitida </w:t>
      </w:r>
      <w:r w:rsidRPr="0009123A">
        <w:rPr>
          <w:rFonts w:ascii="Palatino Linotype" w:hAnsi="Palatino Linotype" w:cs="Arial"/>
          <w:sz w:val="24"/>
          <w:szCs w:val="24"/>
        </w:rPr>
        <w:t>por el Pleno del Instituto de Transparencia, Acceso a la Información Pública y Protección de Datos Personales del Estado de Méxi</w:t>
      </w:r>
      <w:r w:rsidR="002C1F75" w:rsidRPr="0009123A">
        <w:rPr>
          <w:rFonts w:ascii="Palatino Linotype" w:hAnsi="Palatino Linotype" w:cs="Arial"/>
          <w:sz w:val="24"/>
          <w:szCs w:val="24"/>
        </w:rPr>
        <w:t>co y Municipios, en su</w:t>
      </w:r>
      <w:r w:rsidR="000D1743" w:rsidRPr="0009123A">
        <w:rPr>
          <w:rFonts w:ascii="Palatino Linotype" w:hAnsi="Palatino Linotype" w:cs="Arial"/>
          <w:sz w:val="24"/>
          <w:szCs w:val="24"/>
        </w:rPr>
        <w:t xml:space="preserve"> </w:t>
      </w:r>
      <w:r w:rsidR="00777181" w:rsidRPr="0009123A">
        <w:rPr>
          <w:rFonts w:ascii="Palatino Linotype" w:hAnsi="Palatino Linotype" w:cs="Arial"/>
          <w:sz w:val="24"/>
          <w:szCs w:val="24"/>
        </w:rPr>
        <w:t>cuarta</w:t>
      </w:r>
      <w:r w:rsidR="00817341" w:rsidRPr="0009123A">
        <w:rPr>
          <w:rFonts w:ascii="Palatino Linotype" w:hAnsi="Palatino Linotype" w:cs="Arial"/>
          <w:sz w:val="24"/>
          <w:szCs w:val="24"/>
        </w:rPr>
        <w:t xml:space="preserve"> </w:t>
      </w:r>
      <w:r w:rsidRPr="0009123A">
        <w:rPr>
          <w:rFonts w:ascii="Palatino Linotype" w:hAnsi="Palatino Linotype" w:cs="Arial"/>
          <w:sz w:val="24"/>
          <w:szCs w:val="24"/>
        </w:rPr>
        <w:t xml:space="preserve">sesión ordinaria </w:t>
      </w:r>
      <w:r w:rsidR="00777181" w:rsidRPr="0009123A">
        <w:rPr>
          <w:rFonts w:ascii="Palatino Linotype" w:hAnsi="Palatino Linotype" w:cs="Arial"/>
          <w:sz w:val="24"/>
          <w:szCs w:val="24"/>
        </w:rPr>
        <w:t>d</w:t>
      </w:r>
      <w:r w:rsidR="00C7250F" w:rsidRPr="0009123A">
        <w:rPr>
          <w:rFonts w:ascii="Palatino Linotype" w:hAnsi="Palatino Linotype" w:cs="Arial"/>
          <w:sz w:val="24"/>
          <w:szCs w:val="24"/>
        </w:rPr>
        <w:t xml:space="preserve">e fecha </w:t>
      </w:r>
      <w:r w:rsidR="00777181" w:rsidRPr="0009123A">
        <w:rPr>
          <w:rFonts w:ascii="Palatino Linotype" w:hAnsi="Palatino Linotype" w:cs="Arial"/>
          <w:sz w:val="24"/>
          <w:szCs w:val="24"/>
        </w:rPr>
        <w:t>treinta</w:t>
      </w:r>
      <w:r w:rsidRPr="0009123A">
        <w:rPr>
          <w:rFonts w:ascii="Palatino Linotype" w:hAnsi="Palatino Linotype" w:cs="Arial"/>
          <w:sz w:val="24"/>
          <w:szCs w:val="24"/>
        </w:rPr>
        <w:t xml:space="preserve"> (</w:t>
      </w:r>
      <w:r w:rsidR="00777181" w:rsidRPr="0009123A">
        <w:rPr>
          <w:rFonts w:ascii="Palatino Linotype" w:hAnsi="Palatino Linotype" w:cs="Arial"/>
          <w:sz w:val="24"/>
          <w:szCs w:val="24"/>
        </w:rPr>
        <w:t>30</w:t>
      </w:r>
      <w:r w:rsidR="00225026" w:rsidRPr="0009123A">
        <w:rPr>
          <w:rFonts w:ascii="Palatino Linotype" w:hAnsi="Palatino Linotype" w:cs="Arial"/>
          <w:sz w:val="24"/>
          <w:szCs w:val="24"/>
        </w:rPr>
        <w:t xml:space="preserve">) de </w:t>
      </w:r>
      <w:r w:rsidR="00347624" w:rsidRPr="0009123A">
        <w:rPr>
          <w:rFonts w:ascii="Palatino Linotype" w:hAnsi="Palatino Linotype" w:cs="Arial"/>
          <w:sz w:val="24"/>
          <w:szCs w:val="24"/>
        </w:rPr>
        <w:t>enero</w:t>
      </w:r>
      <w:r w:rsidR="00C7250F" w:rsidRPr="0009123A">
        <w:rPr>
          <w:rFonts w:ascii="Palatino Linotype" w:hAnsi="Palatino Linotype" w:cs="Arial"/>
          <w:sz w:val="24"/>
          <w:szCs w:val="24"/>
        </w:rPr>
        <w:t xml:space="preserve"> </w:t>
      </w:r>
      <w:r w:rsidR="0076241F" w:rsidRPr="0009123A">
        <w:rPr>
          <w:rFonts w:ascii="Palatino Linotype" w:hAnsi="Palatino Linotype" w:cs="Arial"/>
          <w:sz w:val="24"/>
          <w:szCs w:val="24"/>
        </w:rPr>
        <w:t>de dos mil dieci</w:t>
      </w:r>
      <w:r w:rsidR="00347624" w:rsidRPr="0009123A">
        <w:rPr>
          <w:rFonts w:ascii="Palatino Linotype" w:hAnsi="Palatino Linotype" w:cs="Arial"/>
          <w:sz w:val="24"/>
          <w:szCs w:val="24"/>
        </w:rPr>
        <w:t>nueve</w:t>
      </w:r>
      <w:r w:rsidRPr="0009123A">
        <w:rPr>
          <w:rFonts w:ascii="Palatino Linotype" w:hAnsi="Palatino Linotype" w:cs="Arial"/>
          <w:sz w:val="24"/>
          <w:szCs w:val="24"/>
        </w:rPr>
        <w:t>, en el recurso</w:t>
      </w:r>
      <w:r w:rsidR="002C1F75" w:rsidRPr="0009123A">
        <w:rPr>
          <w:rFonts w:ascii="Palatino Linotype" w:hAnsi="Palatino Linotype" w:cs="Arial"/>
          <w:sz w:val="24"/>
          <w:szCs w:val="24"/>
        </w:rPr>
        <w:t xml:space="preserve"> de revisión promovido</w:t>
      </w:r>
      <w:r w:rsidR="00777181" w:rsidRPr="0009123A">
        <w:rPr>
          <w:rFonts w:ascii="Palatino Linotype" w:hAnsi="Palatino Linotype" w:cs="Arial"/>
          <w:sz w:val="24"/>
          <w:szCs w:val="24"/>
        </w:rPr>
        <w:t xml:space="preserve"> en contra de la respuesta de la Secretaría de Finanzas</w:t>
      </w:r>
      <w:r w:rsidRPr="0009123A">
        <w:rPr>
          <w:rFonts w:ascii="Palatino Linotype" w:hAnsi="Palatino Linotype" w:cs="Arial"/>
          <w:sz w:val="24"/>
          <w:szCs w:val="24"/>
        </w:rPr>
        <w:t>, procedimiento a</w:t>
      </w:r>
      <w:r w:rsidR="0000525F" w:rsidRPr="0009123A">
        <w:rPr>
          <w:rFonts w:ascii="Palatino Linotype" w:hAnsi="Palatino Linotype" w:cs="Arial"/>
          <w:sz w:val="24"/>
          <w:szCs w:val="24"/>
        </w:rPr>
        <w:t>l</w:t>
      </w:r>
      <w:r w:rsidR="00902248" w:rsidRPr="0009123A">
        <w:rPr>
          <w:rFonts w:ascii="Palatino Linotype" w:hAnsi="Palatino Linotype" w:cs="Arial"/>
          <w:sz w:val="24"/>
          <w:szCs w:val="24"/>
        </w:rPr>
        <w:t xml:space="preserve"> que se le asignó </w:t>
      </w:r>
      <w:r w:rsidR="0000525F" w:rsidRPr="0009123A">
        <w:rPr>
          <w:rFonts w:ascii="Palatino Linotype" w:hAnsi="Palatino Linotype" w:cs="Arial"/>
          <w:sz w:val="24"/>
          <w:szCs w:val="24"/>
        </w:rPr>
        <w:t>el</w:t>
      </w:r>
      <w:r w:rsidRPr="0009123A">
        <w:rPr>
          <w:rFonts w:ascii="Palatino Linotype" w:hAnsi="Palatino Linotype" w:cs="Arial"/>
          <w:sz w:val="24"/>
          <w:szCs w:val="24"/>
        </w:rPr>
        <w:t xml:space="preserve"> número de expediente </w:t>
      </w:r>
      <w:r w:rsidR="0076241F" w:rsidRPr="0009123A">
        <w:rPr>
          <w:rFonts w:ascii="Palatino Linotype" w:eastAsia="Times New Roman" w:hAnsi="Palatino Linotype" w:cs="Arial"/>
          <w:b/>
          <w:bCs/>
          <w:sz w:val="24"/>
          <w:szCs w:val="24"/>
          <w:lang w:eastAsia="es-ES"/>
        </w:rPr>
        <w:t>0</w:t>
      </w:r>
      <w:r w:rsidR="00777181" w:rsidRPr="0009123A">
        <w:rPr>
          <w:rFonts w:ascii="Palatino Linotype" w:eastAsia="Times New Roman" w:hAnsi="Palatino Linotype" w:cs="Arial"/>
          <w:b/>
          <w:bCs/>
          <w:sz w:val="24"/>
          <w:szCs w:val="24"/>
          <w:lang w:eastAsia="es-ES"/>
        </w:rPr>
        <w:t>4394</w:t>
      </w:r>
      <w:r w:rsidR="00C7250F" w:rsidRPr="0009123A">
        <w:rPr>
          <w:rFonts w:ascii="Palatino Linotype" w:eastAsia="Times New Roman" w:hAnsi="Palatino Linotype" w:cs="Arial"/>
          <w:b/>
          <w:bCs/>
          <w:sz w:val="24"/>
          <w:szCs w:val="24"/>
          <w:lang w:eastAsia="es-ES"/>
        </w:rPr>
        <w:t>/INFOEM/IP/RR/2018</w:t>
      </w:r>
      <w:r w:rsidR="0000525F" w:rsidRPr="0009123A">
        <w:rPr>
          <w:rFonts w:ascii="Palatino Linotype" w:eastAsia="Times New Roman" w:hAnsi="Palatino Linotype" w:cs="Arial"/>
          <w:b/>
          <w:bCs/>
          <w:sz w:val="24"/>
          <w:szCs w:val="24"/>
          <w:lang w:eastAsia="es-ES"/>
        </w:rPr>
        <w:t>.</w:t>
      </w:r>
    </w:p>
    <w:p w:rsidR="00702BD9" w:rsidRPr="0009123A" w:rsidRDefault="00C7250F" w:rsidP="006117A6">
      <w:pPr>
        <w:pStyle w:val="Prrafodelista"/>
        <w:numPr>
          <w:ilvl w:val="0"/>
          <w:numId w:val="1"/>
        </w:numPr>
        <w:spacing w:before="240" w:after="240" w:line="360" w:lineRule="auto"/>
        <w:ind w:right="49"/>
        <w:jc w:val="both"/>
        <w:rPr>
          <w:rFonts w:ascii="Palatino Linotype" w:hAnsi="Palatino Linotype" w:cs="Arial"/>
          <w:sz w:val="24"/>
          <w:szCs w:val="24"/>
        </w:rPr>
      </w:pPr>
      <w:r w:rsidRPr="0009123A">
        <w:rPr>
          <w:rFonts w:ascii="Palatino Linotype" w:hAnsi="Palatino Linotype" w:cs="Arial"/>
          <w:sz w:val="24"/>
          <w:szCs w:val="24"/>
        </w:rPr>
        <w:lastRenderedPageBreak/>
        <w:t xml:space="preserve">El sentido de la Resolución puntualmente determina </w:t>
      </w:r>
      <w:r w:rsidR="00347624" w:rsidRPr="0009123A">
        <w:rPr>
          <w:rFonts w:ascii="Palatino Linotype" w:hAnsi="Palatino Linotype" w:cs="Arial"/>
          <w:b/>
          <w:sz w:val="24"/>
          <w:szCs w:val="24"/>
        </w:rPr>
        <w:t xml:space="preserve">SOBRESEER </w:t>
      </w:r>
      <w:r w:rsidR="00347624" w:rsidRPr="0009123A">
        <w:rPr>
          <w:rFonts w:ascii="Palatino Linotype" w:hAnsi="Palatino Linotype" w:cs="Arial"/>
          <w:sz w:val="24"/>
          <w:szCs w:val="24"/>
        </w:rPr>
        <w:t>el recurso de revisión por considerar atendida la pretensión del particular.</w:t>
      </w:r>
    </w:p>
    <w:p w:rsidR="00347624" w:rsidRPr="0009123A" w:rsidRDefault="00347624" w:rsidP="00347624">
      <w:pPr>
        <w:pStyle w:val="Prrafodelista"/>
        <w:spacing w:before="240" w:after="240" w:line="360" w:lineRule="auto"/>
        <w:ind w:left="360" w:right="49"/>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jc w:val="both"/>
        <w:rPr>
          <w:rFonts w:ascii="Palatino Linotype" w:hAnsi="Palatino Linotype" w:cs="Arial"/>
          <w:sz w:val="24"/>
          <w:szCs w:val="24"/>
        </w:rPr>
      </w:pPr>
      <w:r w:rsidRPr="0009123A">
        <w:rPr>
          <w:rFonts w:ascii="Palatino Linotype" w:hAnsi="Palatino Linotype" w:cs="Arial"/>
          <w:sz w:val="24"/>
          <w:szCs w:val="24"/>
        </w:rPr>
        <w:t xml:space="preserve">Por tal motivo y en términos de lo señalado por los artículos </w:t>
      </w:r>
      <w:r w:rsidR="00AA49F3" w:rsidRPr="0009123A">
        <w:rPr>
          <w:rFonts w:ascii="Palatino Linotype" w:hAnsi="Palatino Linotype" w:cs="Arial"/>
          <w:sz w:val="24"/>
          <w:szCs w:val="24"/>
        </w:rPr>
        <w:t>14</w:t>
      </w:r>
      <w:r w:rsidRPr="0009123A">
        <w:rPr>
          <w:rFonts w:ascii="Palatino Linotype" w:hAnsi="Palatino Linotype" w:cs="Arial"/>
          <w:sz w:val="24"/>
          <w:szCs w:val="24"/>
        </w:rPr>
        <w:t xml:space="preserve"> fracción </w:t>
      </w:r>
      <w:r w:rsidR="00AA49F3" w:rsidRPr="0009123A">
        <w:rPr>
          <w:rFonts w:ascii="Palatino Linotype" w:hAnsi="Palatino Linotype" w:cs="Arial"/>
          <w:sz w:val="24"/>
          <w:szCs w:val="24"/>
        </w:rPr>
        <w:t>XI</w:t>
      </w:r>
      <w:r w:rsidRPr="0009123A">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9123A" w:rsidRDefault="0001046D" w:rsidP="00E34F08">
      <w:pPr>
        <w:pStyle w:val="Prrafodelista"/>
        <w:rPr>
          <w:rFonts w:ascii="Palatino Linotype" w:hAnsi="Palatino Linotype" w:cs="Arial"/>
          <w:sz w:val="24"/>
          <w:szCs w:val="24"/>
        </w:rPr>
      </w:pP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1" w:name="_Toc534976972"/>
      <w:r w:rsidRPr="0009123A">
        <w:rPr>
          <w:rFonts w:ascii="Palatino Linotype" w:hAnsi="Palatino Linotype"/>
          <w:b/>
          <w:color w:val="auto"/>
          <w:sz w:val="24"/>
          <w:szCs w:val="24"/>
        </w:rPr>
        <w:t>De los requerimientos planteados en el recurso de revisión.</w:t>
      </w:r>
      <w:bookmarkEnd w:id="1"/>
    </w:p>
    <w:p w:rsidR="0046491C" w:rsidRPr="0009123A" w:rsidRDefault="0046491C" w:rsidP="00E34F08">
      <w:pPr>
        <w:pStyle w:val="Prrafodelista"/>
        <w:spacing w:line="360" w:lineRule="auto"/>
        <w:ind w:left="1080"/>
        <w:jc w:val="both"/>
        <w:rPr>
          <w:rFonts w:ascii="Palatino Linotype" w:hAnsi="Palatino Linotype" w:cs="Arial"/>
          <w:sz w:val="24"/>
          <w:szCs w:val="24"/>
        </w:rPr>
      </w:pPr>
    </w:p>
    <w:p w:rsidR="00777181" w:rsidRPr="0009123A" w:rsidRDefault="009D2892" w:rsidP="00D8230A">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La parte recurrente</w:t>
      </w:r>
      <w:r w:rsidR="000D1743" w:rsidRPr="0009123A">
        <w:rPr>
          <w:rFonts w:ascii="Palatino Linotype" w:hAnsi="Palatino Linotype" w:cs="Arial"/>
          <w:sz w:val="24"/>
          <w:szCs w:val="24"/>
        </w:rPr>
        <w:t xml:space="preserve"> solicitó </w:t>
      </w:r>
      <w:r w:rsidRPr="0009123A">
        <w:rPr>
          <w:rFonts w:ascii="Palatino Linotype" w:hAnsi="Palatino Linotype" w:cs="Arial"/>
          <w:sz w:val="24"/>
          <w:szCs w:val="24"/>
        </w:rPr>
        <w:t xml:space="preserve">al </w:t>
      </w:r>
      <w:r w:rsidR="00777181" w:rsidRPr="0009123A">
        <w:rPr>
          <w:rFonts w:ascii="Palatino Linotype" w:hAnsi="Palatino Linotype" w:cs="Arial"/>
          <w:sz w:val="24"/>
          <w:szCs w:val="24"/>
        </w:rPr>
        <w:t>Sujeto Obligado, de un servidor público, lo siguiente:</w:t>
      </w:r>
    </w:p>
    <w:p w:rsidR="00777181" w:rsidRPr="0009123A" w:rsidRDefault="00777181" w:rsidP="00777181">
      <w:pPr>
        <w:pStyle w:val="Prrafodelista"/>
        <w:numPr>
          <w:ilvl w:val="0"/>
          <w:numId w:val="22"/>
        </w:numPr>
        <w:autoSpaceDE w:val="0"/>
        <w:autoSpaceDN w:val="0"/>
        <w:adjustRightInd w:val="0"/>
        <w:spacing w:before="240" w:after="240" w:line="360" w:lineRule="auto"/>
        <w:contextualSpacing w:val="0"/>
        <w:jc w:val="both"/>
        <w:rPr>
          <w:rFonts w:ascii="Palatino Linotype" w:hAnsi="Palatino Linotype" w:cs="Arial"/>
          <w:sz w:val="24"/>
          <w:szCs w:val="24"/>
        </w:rPr>
      </w:pPr>
      <w:r w:rsidRPr="0009123A">
        <w:rPr>
          <w:rFonts w:ascii="Palatino Linotype" w:hAnsi="Palatino Linotype" w:cs="Arial"/>
          <w:sz w:val="24"/>
          <w:szCs w:val="24"/>
        </w:rPr>
        <w:t>Si labora en la Secretaría de Finanzas del Gobierno del Estado de México.</w:t>
      </w:r>
    </w:p>
    <w:p w:rsidR="00777181" w:rsidRPr="0009123A" w:rsidRDefault="00777181" w:rsidP="00777181">
      <w:pPr>
        <w:pStyle w:val="Prrafodelista"/>
        <w:numPr>
          <w:ilvl w:val="0"/>
          <w:numId w:val="22"/>
        </w:numPr>
        <w:autoSpaceDE w:val="0"/>
        <w:autoSpaceDN w:val="0"/>
        <w:adjustRightInd w:val="0"/>
        <w:spacing w:before="240" w:after="240" w:line="360" w:lineRule="auto"/>
        <w:contextualSpacing w:val="0"/>
        <w:jc w:val="both"/>
        <w:rPr>
          <w:rFonts w:ascii="Palatino Linotype" w:hAnsi="Palatino Linotype" w:cs="Arial"/>
          <w:sz w:val="24"/>
          <w:szCs w:val="24"/>
        </w:rPr>
      </w:pPr>
      <w:r w:rsidRPr="0009123A">
        <w:rPr>
          <w:rFonts w:ascii="Palatino Linotype" w:hAnsi="Palatino Linotype" w:cs="Arial"/>
          <w:sz w:val="24"/>
          <w:szCs w:val="24"/>
        </w:rPr>
        <w:t>La fecha de adscripción a la Secretaría de Finanzas, cargo actual o puesto funcional que ostenta.</w:t>
      </w:r>
    </w:p>
    <w:p w:rsidR="00777181" w:rsidRPr="0009123A" w:rsidRDefault="00777181" w:rsidP="00777181">
      <w:pPr>
        <w:pStyle w:val="Prrafodelista"/>
        <w:numPr>
          <w:ilvl w:val="0"/>
          <w:numId w:val="22"/>
        </w:numPr>
        <w:autoSpaceDE w:val="0"/>
        <w:autoSpaceDN w:val="0"/>
        <w:adjustRightInd w:val="0"/>
        <w:spacing w:before="240" w:after="240" w:line="360" w:lineRule="auto"/>
        <w:contextualSpacing w:val="0"/>
        <w:jc w:val="both"/>
        <w:rPr>
          <w:rFonts w:ascii="Palatino Linotype" w:hAnsi="Palatino Linotype" w:cs="Arial"/>
          <w:sz w:val="24"/>
          <w:szCs w:val="24"/>
        </w:rPr>
      </w:pPr>
      <w:r w:rsidRPr="0009123A">
        <w:rPr>
          <w:rFonts w:ascii="Palatino Linotype" w:hAnsi="Palatino Linotype" w:cs="Arial"/>
          <w:sz w:val="24"/>
          <w:szCs w:val="24"/>
        </w:rPr>
        <w:t>Las Percepciones totales.</w:t>
      </w:r>
    </w:p>
    <w:p w:rsidR="00777181" w:rsidRPr="0009123A" w:rsidRDefault="00777181" w:rsidP="00777181">
      <w:pPr>
        <w:pStyle w:val="Prrafodelista"/>
        <w:numPr>
          <w:ilvl w:val="0"/>
          <w:numId w:val="22"/>
        </w:numPr>
        <w:autoSpaceDE w:val="0"/>
        <w:autoSpaceDN w:val="0"/>
        <w:adjustRightInd w:val="0"/>
        <w:spacing w:before="240" w:after="240" w:line="360" w:lineRule="auto"/>
        <w:contextualSpacing w:val="0"/>
        <w:jc w:val="both"/>
        <w:rPr>
          <w:rFonts w:ascii="Palatino Linotype" w:hAnsi="Palatino Linotype" w:cs="Arial"/>
          <w:sz w:val="24"/>
          <w:szCs w:val="24"/>
        </w:rPr>
      </w:pPr>
      <w:r w:rsidRPr="0009123A">
        <w:rPr>
          <w:rFonts w:ascii="Palatino Linotype" w:hAnsi="Palatino Linotype" w:cs="Arial"/>
          <w:sz w:val="24"/>
          <w:szCs w:val="24"/>
        </w:rPr>
        <w:t>Las Deducciones totales.</w:t>
      </w:r>
    </w:p>
    <w:p w:rsidR="00777181" w:rsidRPr="0009123A" w:rsidRDefault="00777181" w:rsidP="00777181">
      <w:pPr>
        <w:pStyle w:val="Prrafodelista"/>
        <w:numPr>
          <w:ilvl w:val="0"/>
          <w:numId w:val="22"/>
        </w:numPr>
        <w:autoSpaceDE w:val="0"/>
        <w:autoSpaceDN w:val="0"/>
        <w:adjustRightInd w:val="0"/>
        <w:spacing w:before="240" w:after="240" w:line="360" w:lineRule="auto"/>
        <w:contextualSpacing w:val="0"/>
        <w:jc w:val="both"/>
        <w:rPr>
          <w:rFonts w:ascii="Palatino Linotype" w:hAnsi="Palatino Linotype" w:cs="Arial"/>
          <w:sz w:val="24"/>
          <w:szCs w:val="24"/>
        </w:rPr>
      </w:pPr>
      <w:r w:rsidRPr="0009123A">
        <w:rPr>
          <w:rFonts w:ascii="Palatino Linotype" w:hAnsi="Palatino Linotype" w:cs="Arial"/>
          <w:sz w:val="24"/>
          <w:szCs w:val="24"/>
        </w:rPr>
        <w:t>Las Claves Presupuestales.</w:t>
      </w:r>
    </w:p>
    <w:p w:rsidR="00777181" w:rsidRPr="0009123A" w:rsidRDefault="00777181" w:rsidP="00777181">
      <w:pPr>
        <w:pStyle w:val="Prrafodelista"/>
        <w:numPr>
          <w:ilvl w:val="0"/>
          <w:numId w:val="22"/>
        </w:numPr>
        <w:autoSpaceDE w:val="0"/>
        <w:autoSpaceDN w:val="0"/>
        <w:adjustRightInd w:val="0"/>
        <w:spacing w:before="240" w:after="240" w:line="360" w:lineRule="auto"/>
        <w:contextualSpacing w:val="0"/>
        <w:jc w:val="both"/>
        <w:rPr>
          <w:rFonts w:ascii="Palatino Linotype" w:hAnsi="Palatino Linotype" w:cs="Arial"/>
          <w:sz w:val="24"/>
          <w:szCs w:val="24"/>
        </w:rPr>
      </w:pPr>
      <w:r w:rsidRPr="0009123A">
        <w:rPr>
          <w:rFonts w:ascii="Palatino Linotype" w:hAnsi="Palatino Linotype" w:cs="Arial"/>
          <w:sz w:val="24"/>
          <w:szCs w:val="24"/>
        </w:rPr>
        <w:t>El Currí</w:t>
      </w:r>
      <w:r w:rsidRPr="0009123A">
        <w:rPr>
          <w:rFonts w:ascii="Palatino Linotype" w:hAnsi="Palatino Linotype" w:cs="Arial"/>
          <w:sz w:val="24"/>
          <w:szCs w:val="24"/>
        </w:rPr>
        <w:t>culum Vitae en versión pública.</w:t>
      </w:r>
    </w:p>
    <w:p w:rsidR="00777181" w:rsidRPr="0009123A" w:rsidRDefault="00777181" w:rsidP="00777181">
      <w:pPr>
        <w:pStyle w:val="Prrafodelista"/>
        <w:numPr>
          <w:ilvl w:val="0"/>
          <w:numId w:val="22"/>
        </w:numPr>
        <w:autoSpaceDE w:val="0"/>
        <w:autoSpaceDN w:val="0"/>
        <w:adjustRightInd w:val="0"/>
        <w:spacing w:before="240" w:after="240" w:line="360" w:lineRule="auto"/>
        <w:contextualSpacing w:val="0"/>
        <w:jc w:val="both"/>
        <w:rPr>
          <w:rFonts w:ascii="Palatino Linotype" w:hAnsi="Palatino Linotype" w:cs="Arial"/>
          <w:sz w:val="24"/>
          <w:szCs w:val="24"/>
        </w:rPr>
      </w:pPr>
      <w:r w:rsidRPr="0009123A">
        <w:rPr>
          <w:rFonts w:ascii="Palatino Linotype" w:hAnsi="Palatino Linotype" w:cs="Arial"/>
          <w:sz w:val="24"/>
          <w:szCs w:val="24"/>
        </w:rPr>
        <w:t>El Expediente laboral en versión pública.</w:t>
      </w:r>
    </w:p>
    <w:p w:rsidR="00777181" w:rsidRPr="0009123A" w:rsidRDefault="00777181" w:rsidP="00777181">
      <w:pPr>
        <w:pStyle w:val="Prrafodelista"/>
        <w:spacing w:after="0" w:line="360" w:lineRule="auto"/>
        <w:ind w:left="360"/>
        <w:jc w:val="both"/>
        <w:rPr>
          <w:rFonts w:ascii="Palatino Linotype" w:hAnsi="Palatino Linotype" w:cs="Arial"/>
          <w:sz w:val="24"/>
          <w:szCs w:val="24"/>
        </w:rPr>
      </w:pPr>
    </w:p>
    <w:p w:rsidR="00777181" w:rsidRPr="0009123A" w:rsidRDefault="00777181" w:rsidP="00777181">
      <w:pPr>
        <w:pStyle w:val="Prrafodelista"/>
        <w:spacing w:after="0" w:line="360" w:lineRule="auto"/>
        <w:ind w:left="360"/>
        <w:jc w:val="both"/>
        <w:rPr>
          <w:rFonts w:ascii="Palatino Linotype" w:hAnsi="Palatino Linotype" w:cs="Arial"/>
          <w:sz w:val="24"/>
          <w:szCs w:val="24"/>
        </w:rPr>
      </w:pPr>
    </w:p>
    <w:p w:rsidR="00777181" w:rsidRPr="0009123A" w:rsidRDefault="00777181" w:rsidP="00777181">
      <w:pPr>
        <w:pStyle w:val="Prrafodelista"/>
        <w:spacing w:after="0" w:line="360" w:lineRule="auto"/>
        <w:ind w:left="360"/>
        <w:jc w:val="both"/>
        <w:rPr>
          <w:rFonts w:ascii="Palatino Linotype" w:hAnsi="Palatino Linotype" w:cs="Arial"/>
          <w:sz w:val="24"/>
          <w:szCs w:val="24"/>
        </w:rPr>
      </w:pPr>
    </w:p>
    <w:p w:rsidR="009D2892" w:rsidRPr="0009123A" w:rsidRDefault="00347624" w:rsidP="00777181">
      <w:pPr>
        <w:pStyle w:val="Prrafodelista"/>
        <w:spacing w:after="0" w:line="360" w:lineRule="auto"/>
        <w:ind w:left="360"/>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Ayuntamiento los estados analíticos de ingreso de enero a julio del año 2018 que fueron remitidos al Órgano Superior de Fiscalización.</w:t>
      </w:r>
    </w:p>
    <w:p w:rsidR="00347624" w:rsidRPr="0009123A" w:rsidRDefault="00347624" w:rsidP="00347624">
      <w:pPr>
        <w:pStyle w:val="Prrafodelista"/>
        <w:spacing w:after="0" w:line="360" w:lineRule="auto"/>
        <w:ind w:left="360"/>
        <w:jc w:val="both"/>
        <w:rPr>
          <w:rFonts w:ascii="Palatino Linotype" w:eastAsia="Times New Roman" w:hAnsi="Palatino Linotype" w:cs="Times New Roman"/>
          <w:i/>
          <w:sz w:val="24"/>
          <w:szCs w:val="24"/>
          <w:lang w:val="es-ES_tradnl" w:eastAsia="es-ES"/>
        </w:rPr>
      </w:pPr>
    </w:p>
    <w:p w:rsidR="0009123A" w:rsidRPr="0009123A" w:rsidRDefault="009D2892" w:rsidP="009D2892">
      <w:pPr>
        <w:pStyle w:val="Prrafodelista"/>
        <w:numPr>
          <w:ilvl w:val="0"/>
          <w:numId w:val="1"/>
        </w:numPr>
        <w:tabs>
          <w:tab w:val="left" w:pos="4962"/>
        </w:tabs>
        <w:spacing w:line="360" w:lineRule="auto"/>
        <w:jc w:val="both"/>
        <w:rPr>
          <w:rFonts w:ascii="Palatino Linotype" w:eastAsia="Calibri" w:hAnsi="Palatino Linotype" w:cs="Tahoma"/>
          <w:iCs/>
          <w:sz w:val="24"/>
          <w:szCs w:val="24"/>
          <w:lang w:val="es-ES" w:eastAsia="es-ES_tradnl"/>
        </w:rPr>
      </w:pPr>
      <w:r w:rsidRPr="0009123A">
        <w:rPr>
          <w:rFonts w:ascii="Palatino Linotype" w:eastAsia="Calibri" w:hAnsi="Palatino Linotype" w:cs="Tahoma"/>
          <w:iCs/>
          <w:sz w:val="24"/>
          <w:szCs w:val="24"/>
          <w:lang w:val="es-ES" w:eastAsia="es-ES_tradnl"/>
        </w:rPr>
        <w:t xml:space="preserve">El Sujeto Obligado en respuesta, </w:t>
      </w:r>
      <w:r w:rsidR="00CF2F92" w:rsidRPr="0009123A">
        <w:rPr>
          <w:rFonts w:ascii="Palatino Linotype" w:eastAsia="Calibri" w:hAnsi="Palatino Linotype" w:cs="Tahoma"/>
          <w:iCs/>
          <w:sz w:val="24"/>
          <w:szCs w:val="24"/>
          <w:lang w:val="es-ES" w:eastAsia="es-ES_tradnl"/>
        </w:rPr>
        <w:t xml:space="preserve">remitió diversos documentos </w:t>
      </w:r>
      <w:r w:rsidR="0009123A" w:rsidRPr="0009123A">
        <w:rPr>
          <w:rFonts w:ascii="Palatino Linotype" w:eastAsia="Calibri" w:hAnsi="Palatino Linotype" w:cs="Tahoma"/>
          <w:iCs/>
          <w:sz w:val="24"/>
          <w:szCs w:val="24"/>
          <w:lang w:val="es-ES" w:eastAsia="es-ES_tradnl"/>
        </w:rPr>
        <w:t>en los cuales se menciona que el servidor público se encuentra adscrito a la Secretaría desde el 2 de mayo de 2006, asimismo enuncian sus percepciones, además remitió documentos que se encuentran en su expediente personal como acta de nacimiento, cartas de recomendación, currículum vitae.</w:t>
      </w:r>
    </w:p>
    <w:p w:rsidR="00CF2F92" w:rsidRPr="0009123A" w:rsidRDefault="0009123A" w:rsidP="0009123A">
      <w:pPr>
        <w:pStyle w:val="Prrafodelista"/>
        <w:tabs>
          <w:tab w:val="left" w:pos="1860"/>
        </w:tabs>
        <w:rPr>
          <w:rFonts w:ascii="Palatino Linotype" w:eastAsia="Calibri" w:hAnsi="Palatino Linotype" w:cs="Tahoma"/>
          <w:iCs/>
          <w:sz w:val="24"/>
          <w:szCs w:val="24"/>
          <w:lang w:val="es-ES" w:eastAsia="es-ES_tradnl"/>
        </w:rPr>
      </w:pPr>
      <w:r w:rsidRPr="0009123A">
        <w:rPr>
          <w:rFonts w:ascii="Palatino Linotype" w:eastAsia="Calibri" w:hAnsi="Palatino Linotype" w:cs="Tahoma"/>
          <w:iCs/>
          <w:sz w:val="24"/>
          <w:szCs w:val="24"/>
          <w:lang w:val="es-ES" w:eastAsia="es-ES_tradnl"/>
        </w:rPr>
        <w:tab/>
      </w:r>
    </w:p>
    <w:p w:rsidR="0009123A" w:rsidRPr="0009123A" w:rsidRDefault="009D2892" w:rsidP="009D2892">
      <w:pPr>
        <w:pStyle w:val="Prrafodelista"/>
        <w:numPr>
          <w:ilvl w:val="0"/>
          <w:numId w:val="1"/>
        </w:numPr>
        <w:spacing w:after="0" w:line="360" w:lineRule="auto"/>
        <w:jc w:val="both"/>
        <w:rPr>
          <w:rFonts w:ascii="Palatino Linotype" w:eastAsia="Times New Roman" w:hAnsi="Palatino Linotype" w:cs="Times New Roman"/>
          <w:i/>
          <w:sz w:val="24"/>
          <w:szCs w:val="24"/>
          <w:lang w:val="es-ES_tradnl" w:eastAsia="es-ES"/>
        </w:rPr>
      </w:pPr>
      <w:r w:rsidRPr="0009123A">
        <w:rPr>
          <w:rFonts w:ascii="Palatino Linotype" w:hAnsi="Palatino Linotype" w:cs="Arial"/>
          <w:sz w:val="24"/>
          <w:szCs w:val="24"/>
        </w:rPr>
        <w:t xml:space="preserve">La recurrente se inconformó </w:t>
      </w:r>
      <w:r w:rsidRPr="0009123A">
        <w:rPr>
          <w:rFonts w:ascii="Palatino Linotype" w:eastAsia="Calibri" w:hAnsi="Palatino Linotype" w:cs="Tahoma"/>
          <w:iCs/>
          <w:sz w:val="24"/>
          <w:szCs w:val="24"/>
          <w:lang w:val="es-ES" w:eastAsia="es-ES_tradnl"/>
        </w:rPr>
        <w:t xml:space="preserve">porque </w:t>
      </w:r>
      <w:r w:rsidR="0009123A" w:rsidRPr="0009123A">
        <w:rPr>
          <w:rFonts w:ascii="Palatino Linotype" w:eastAsia="Calibri" w:hAnsi="Palatino Linotype" w:cs="Tahoma"/>
          <w:iCs/>
          <w:sz w:val="24"/>
          <w:szCs w:val="24"/>
          <w:lang w:val="es-ES" w:eastAsia="es-ES_tradnl"/>
        </w:rPr>
        <w:t>no responden todos los cuestionamientos, faltando las percepciones.</w:t>
      </w:r>
    </w:p>
    <w:p w:rsidR="0009123A" w:rsidRPr="0009123A" w:rsidRDefault="0009123A" w:rsidP="0009123A">
      <w:pPr>
        <w:pStyle w:val="Prrafodelista"/>
        <w:rPr>
          <w:rFonts w:ascii="Palatino Linotype" w:eastAsia="Calibri" w:hAnsi="Palatino Linotype" w:cs="Tahoma"/>
          <w:iCs/>
          <w:sz w:val="24"/>
          <w:szCs w:val="24"/>
          <w:lang w:val="es-ES" w:eastAsia="es-ES_tradnl"/>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Si bien es de destacar, </w:t>
      </w:r>
      <w:r w:rsidR="00AE4797" w:rsidRPr="0009123A">
        <w:rPr>
          <w:rFonts w:ascii="Palatino Linotype" w:hAnsi="Palatino Linotype" w:cs="Arial"/>
          <w:sz w:val="24"/>
          <w:szCs w:val="24"/>
        </w:rPr>
        <w:t>que el Sujeto Obligado atiende la solicitud</w:t>
      </w:r>
      <w:r w:rsidR="00643C7E" w:rsidRPr="0009123A">
        <w:rPr>
          <w:rFonts w:ascii="Palatino Linotype" w:hAnsi="Palatino Linotype" w:cs="Arial"/>
          <w:sz w:val="24"/>
          <w:szCs w:val="24"/>
        </w:rPr>
        <w:t xml:space="preserve">, también lo es que el recurrente no se inconformó sobre la totalidad de la respuesta, </w:t>
      </w:r>
      <w:r w:rsidR="00FC5012" w:rsidRPr="0009123A">
        <w:rPr>
          <w:rFonts w:ascii="Palatino Linotype" w:hAnsi="Palatino Linotype" w:cs="Arial"/>
          <w:sz w:val="24"/>
          <w:szCs w:val="24"/>
        </w:rPr>
        <w:t xml:space="preserve">sin embargo, </w:t>
      </w:r>
      <w:r w:rsidRPr="0009123A">
        <w:rPr>
          <w:rFonts w:ascii="Palatino Linotype" w:hAnsi="Palatino Linotype" w:cs="Arial"/>
          <w:sz w:val="24"/>
          <w:szCs w:val="24"/>
        </w:rPr>
        <w:t xml:space="preserve">en el estudio y desarrollo de dicha resolución fueron invocados los llamados </w:t>
      </w:r>
      <w:r w:rsidR="006D268B" w:rsidRPr="0009123A">
        <w:rPr>
          <w:rFonts w:ascii="Palatino Linotype" w:hAnsi="Palatino Linotype" w:cs="Arial"/>
          <w:sz w:val="24"/>
          <w:szCs w:val="24"/>
        </w:rPr>
        <w:t>“</w:t>
      </w:r>
      <w:r w:rsidRPr="0009123A">
        <w:rPr>
          <w:rFonts w:ascii="Palatino Linotype" w:hAnsi="Palatino Linotype" w:cs="Arial"/>
          <w:sz w:val="24"/>
          <w:szCs w:val="24"/>
        </w:rPr>
        <w:t>actos consentidos</w:t>
      </w:r>
      <w:r w:rsidR="006D268B" w:rsidRPr="0009123A">
        <w:rPr>
          <w:rFonts w:ascii="Palatino Linotype" w:hAnsi="Palatino Linotype" w:cs="Arial"/>
          <w:sz w:val="24"/>
          <w:szCs w:val="24"/>
        </w:rPr>
        <w:t>”</w:t>
      </w:r>
      <w:r w:rsidRPr="0009123A">
        <w:rPr>
          <w:rFonts w:ascii="Palatino Linotype" w:hAnsi="Palatino Linotype" w:cs="Arial"/>
          <w:sz w:val="24"/>
          <w:szCs w:val="24"/>
        </w:rPr>
        <w:t>, tal y como se observa en las siguientes líneas de la resolución en comento:</w:t>
      </w:r>
    </w:p>
    <w:p w:rsidR="008702E8" w:rsidRPr="0009123A" w:rsidRDefault="008702E8" w:rsidP="008702E8">
      <w:pPr>
        <w:pStyle w:val="Prrafodelista"/>
        <w:rPr>
          <w:rFonts w:ascii="Palatino Linotype" w:hAnsi="Palatino Linotype" w:cs="Arial"/>
          <w:sz w:val="24"/>
          <w:szCs w:val="24"/>
        </w:rPr>
      </w:pPr>
    </w:p>
    <w:p w:rsidR="0009123A" w:rsidRDefault="0069498B" w:rsidP="0009123A">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hAnsi="Palatino Linotype" w:cs="Arial"/>
          <w:i/>
          <w:szCs w:val="24"/>
        </w:rPr>
        <w:t>“</w:t>
      </w:r>
      <w:r w:rsidR="0009123A" w:rsidRPr="0009123A">
        <w:rPr>
          <w:rFonts w:ascii="Palatino Linotype" w:eastAsia="Calibri" w:hAnsi="Palatino Linotype" w:cs="Tahoma"/>
          <w:i/>
          <w:iCs/>
          <w:szCs w:val="24"/>
          <w:lang w:val="es-ES" w:eastAsia="es-ES_tradnl"/>
        </w:rPr>
        <w:t xml:space="preserve">En primer lugar, es importante resaltar que el particular se queja únicamente del numeral 3 indicado en su solicitud de acceso a la información pública, correspondiente </w:t>
      </w:r>
      <w:r w:rsidR="0009123A" w:rsidRPr="0009123A">
        <w:rPr>
          <w:rFonts w:ascii="Palatino Linotype" w:eastAsia="Calibri" w:hAnsi="Palatino Linotype" w:cs="Tahoma"/>
          <w:i/>
          <w:iCs/>
          <w:szCs w:val="24"/>
          <w:lang w:val="es-ES" w:eastAsia="es-ES_tradnl"/>
        </w:rPr>
        <w:lastRenderedPageBreak/>
        <w:t>a la información de las “percepciones totales (Prestaciones, sueldos Ordinarios y Extraordinarios, viáticos, horas extras y cualquier gratificación extra que ostente.), en el sentido de que el Sujeto Obligado no responde a todos los cuestionamientos ya que solicitó las percepciones totales del ciudadano a que se hace referencia en la solicitud, las cuales deben ser de manera enunciativa más no limitada lo siguiente: Gratificación, Compensación por Retabulación, Despensa, Total Bruto, Aguinaldo (Anual), Prima Vacacional (Anual), Gratif. Especial (Anual), Fondo de Retiro, Seguro de Sep. Ind,. Útiles Escolares, Gratif. Por Productividad, Gastos de Transporte, Apoyo de Fin de Año, Estímulo Laboral, Prev. Social Múltiple, Prima por Perm. en el Serv. Mensual (con 5 ó más años de servicio ininterrumpidos), Prima A dic. Por Perm. en el Serv. Mensual (con 30 ó más años de servicio ininterrumpidos), sin que se aprecie algún motivo de inconformidad respecto de los numerales 1, 2, 4, 5, 6 y 7; derivado de lo anterior, se concluye en vínculo a la solicitud de acceso a la información; que el recurrente está conforme con la respuesta emitida por el Sujeto Obligado, respecto de los numerales 1, 2, 4, 5, 6 y 7, por lo que se considera que el recurrente consintió la respuesta.</w:t>
      </w:r>
    </w:p>
    <w:p w:rsidR="0009123A" w:rsidRPr="0009123A" w:rsidRDefault="0009123A" w:rsidP="0009123A">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eastAsia="Calibri" w:hAnsi="Palatino Linotype" w:cs="Tahoma"/>
          <w:i/>
          <w:iCs/>
          <w:szCs w:val="24"/>
          <w:lang w:val="es-ES" w:eastAsia="es-ES_tradnl"/>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09123A" w:rsidRPr="0009123A" w:rsidRDefault="0009123A" w:rsidP="0009123A">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eastAsia="Calibri" w:hAnsi="Palatino Linotype" w:cs="Tahoma"/>
          <w:i/>
          <w:iCs/>
          <w:szCs w:val="24"/>
          <w:lang w:val="es-ES" w:eastAsia="es-ES_tradnl"/>
        </w:rPr>
        <w:t xml:space="preserve">“REVISIÓN EN AMPARO. LOS RESOLUTIVOS NO COMBATIDOS DEBEN DECLARARSE FIRMES. Cuando algún resolutivo de la sentencia impugnada afecta </w:t>
      </w:r>
      <w:r w:rsidRPr="0009123A">
        <w:rPr>
          <w:rFonts w:ascii="Palatino Linotype" w:eastAsia="Calibri" w:hAnsi="Palatino Linotype" w:cs="Tahoma"/>
          <w:i/>
          <w:iCs/>
          <w:szCs w:val="24"/>
          <w:lang w:val="es-ES" w:eastAsia="es-ES_tradnl"/>
        </w:rPr>
        <w:lastRenderedPageBreak/>
        <w:t>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09123A" w:rsidRPr="0009123A" w:rsidRDefault="0009123A" w:rsidP="0009123A">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eastAsia="Calibri" w:hAnsi="Palatino Linotype" w:cs="Tahoma"/>
          <w:i/>
          <w:iCs/>
          <w:szCs w:val="24"/>
          <w:lang w:val="es-ES" w:eastAsia="es-ES_tradnl"/>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09123A" w:rsidRPr="0009123A" w:rsidRDefault="0009123A" w:rsidP="0009123A">
      <w:pPr>
        <w:tabs>
          <w:tab w:val="left" w:pos="4962"/>
        </w:tabs>
        <w:spacing w:line="360" w:lineRule="auto"/>
        <w:ind w:left="567" w:right="616"/>
        <w:jc w:val="both"/>
        <w:rPr>
          <w:rFonts w:ascii="Palatino Linotype" w:eastAsia="Calibri" w:hAnsi="Palatino Linotype" w:cs="Tahoma"/>
          <w:i/>
          <w:iCs/>
          <w:szCs w:val="24"/>
          <w:lang w:val="es-ES" w:eastAsia="es-ES_tradnl"/>
        </w:rPr>
      </w:pPr>
      <w:r w:rsidRPr="0009123A">
        <w:rPr>
          <w:rFonts w:ascii="Palatino Linotype" w:eastAsia="Calibri" w:hAnsi="Palatino Linotype" w:cs="Tahoma"/>
          <w:i/>
          <w:iCs/>
          <w:szCs w:val="24"/>
          <w:lang w:val="es-ES" w:eastAsia="es-ES_tradnl"/>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69498B" w:rsidRPr="0009123A" w:rsidRDefault="0009123A" w:rsidP="0009123A">
      <w:pPr>
        <w:tabs>
          <w:tab w:val="left" w:pos="4962"/>
        </w:tabs>
        <w:spacing w:line="360" w:lineRule="auto"/>
        <w:ind w:left="567" w:right="616"/>
        <w:jc w:val="both"/>
        <w:rPr>
          <w:rFonts w:ascii="Palatino Linotype" w:hAnsi="Palatino Linotype" w:cs="Arial"/>
          <w:i/>
          <w:szCs w:val="24"/>
        </w:rPr>
      </w:pPr>
      <w:r w:rsidRPr="0009123A">
        <w:rPr>
          <w:rFonts w:ascii="Palatino Linotype" w:eastAsia="Calibri" w:hAnsi="Palatino Linotype" w:cs="Tahoma"/>
          <w:i/>
          <w:iCs/>
          <w:szCs w:val="24"/>
          <w:lang w:val="es-ES" w:eastAsia="es-ES_tradnl"/>
        </w:rPr>
        <w:t xml:space="preserve">En síntesis, como ya ha quedado establecido, el recurrente se inconforma únicamente por la información faltante de las percepciones totales del servidor público que se indica en la solicitud de acceso a la información, considerando que el Sujeto Obligado no le </w:t>
      </w:r>
      <w:r w:rsidRPr="0009123A">
        <w:rPr>
          <w:rFonts w:ascii="Palatino Linotype" w:eastAsia="Calibri" w:hAnsi="Palatino Linotype" w:cs="Tahoma"/>
          <w:i/>
          <w:iCs/>
          <w:szCs w:val="24"/>
          <w:lang w:val="es-ES" w:eastAsia="es-ES_tradnl"/>
        </w:rPr>
        <w:lastRenderedPageBreak/>
        <w:t>contesto todos los cuestionamientos referidos en el punto 3, y no así de la información por medio del cual el Sujeto Obligado da respuesta correspondiente a que si labora en la Secretaría de Finanzas del Gobierno del Estado de México, la fecha de adscripción a la Secretaría de Finanzas, cargo actual o puesto funcional que ostenta, las Deducciones totales, las Claves Presupuestales que ostenta, el Curriculum Vitae en versión pública y el Expediente laboral en versión pública, del Servidor Público del que se requiere la información, aceptando el recurrente dicho pronunciamiento del Sujeto Obligado, al no impugnarlo.</w:t>
      </w:r>
      <w:r w:rsidRPr="0009123A">
        <w:rPr>
          <w:rFonts w:ascii="Palatino Linotype" w:hAnsi="Palatino Linotype" w:cs="Arial"/>
          <w:i/>
          <w:szCs w:val="24"/>
        </w:rPr>
        <w:t>”</w:t>
      </w:r>
    </w:p>
    <w:p w:rsidR="008460C4" w:rsidRPr="0009123A" w:rsidRDefault="008460C4"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He de manifestar que han sido varias las ocasiones en las que formulo votos particulares</w:t>
      </w:r>
      <w:r w:rsidR="00346358" w:rsidRPr="0009123A">
        <w:rPr>
          <w:rFonts w:ascii="Palatino Linotype" w:hAnsi="Palatino Linotype" w:cs="Arial"/>
          <w:szCs w:val="24"/>
        </w:rPr>
        <w:t>,</w:t>
      </w:r>
      <w:r w:rsidRPr="0009123A">
        <w:rPr>
          <w:rFonts w:ascii="Palatino Linotype" w:hAnsi="Palatino Linotype" w:cs="Arial"/>
          <w:szCs w:val="24"/>
        </w:rPr>
        <w:t xml:space="preserve"> porque en el estudio de los proyectos de resolución mencionan los llamados </w:t>
      </w:r>
      <w:r w:rsidRPr="0009123A">
        <w:rPr>
          <w:rFonts w:ascii="Palatino Linotype" w:hAnsi="Palatino Linotype" w:cs="Arial"/>
          <w:b/>
          <w:i/>
          <w:szCs w:val="24"/>
        </w:rPr>
        <w:t xml:space="preserve">“actos consentidos”, </w:t>
      </w:r>
      <w:r w:rsidRPr="0009123A">
        <w:rPr>
          <w:rFonts w:ascii="Palatino Linotype" w:hAnsi="Palatino Linotype" w:cs="Arial"/>
          <w:szCs w:val="24"/>
        </w:rPr>
        <w:t>sin embargo, en este caso en particular, difiero con mayor fuerza toda vez que lo que el Comisionado Ponente y mis demás compañeros Comisionados que integran el Pleno de este Órgano Garante</w:t>
      </w:r>
      <w:r w:rsidR="00346358" w:rsidRPr="0009123A">
        <w:rPr>
          <w:rFonts w:ascii="Palatino Linotype" w:hAnsi="Palatino Linotype" w:cs="Arial"/>
          <w:szCs w:val="24"/>
        </w:rPr>
        <w:t>, consintieron</w:t>
      </w:r>
      <w:r w:rsidRPr="0009123A">
        <w:rPr>
          <w:rFonts w:ascii="Palatino Linotype" w:hAnsi="Palatino Linotype" w:cs="Arial"/>
          <w:szCs w:val="24"/>
        </w:rPr>
        <w:t xml:space="preserve"> el cambio de modalidad para la entrega de las versiones estenográficas de las sesiones de cabildo del Sujeto Obligado del periodo comprendido del año 2017 y 2018</w:t>
      </w:r>
      <w:r w:rsidR="00937AD9" w:rsidRPr="0009123A">
        <w:rPr>
          <w:rFonts w:ascii="Palatino Linotype" w:hAnsi="Palatino Linotype" w:cs="Arial"/>
          <w:szCs w:val="24"/>
        </w:rPr>
        <w:t>, sin estudiar, analizar o bien, justificar el cambio de modalidad, situación que pudiera causar un perjuicio al particular en razón de que a falta de justificación, se traduce que se le restringió el acceso a ésta información por la vía solicitada porque no se inconformó por ello.</w:t>
      </w:r>
    </w:p>
    <w:p w:rsidR="00BF2070" w:rsidRPr="0009123A" w:rsidRDefault="00BF2070" w:rsidP="00BF2070">
      <w:pPr>
        <w:pStyle w:val="Prrafodelista"/>
        <w:spacing w:before="240" w:after="240" w:line="360" w:lineRule="auto"/>
        <w:ind w:left="360" w:right="49"/>
        <w:jc w:val="both"/>
        <w:rPr>
          <w:rFonts w:ascii="Palatino Linotype" w:hAnsi="Palatino Linotype" w:cs="Arial"/>
          <w:szCs w:val="24"/>
        </w:rPr>
      </w:pPr>
    </w:p>
    <w:p w:rsidR="0046491C" w:rsidRPr="0009123A" w:rsidRDefault="0046491C" w:rsidP="00E34F08">
      <w:pPr>
        <w:pStyle w:val="Prrafodelista"/>
        <w:numPr>
          <w:ilvl w:val="0"/>
          <w:numId w:val="1"/>
        </w:numPr>
        <w:spacing w:before="240" w:after="240" w:line="360" w:lineRule="auto"/>
        <w:ind w:right="49"/>
        <w:jc w:val="both"/>
        <w:rPr>
          <w:rFonts w:ascii="Palatino Linotype" w:hAnsi="Palatino Linotype" w:cs="Arial"/>
          <w:szCs w:val="24"/>
        </w:rPr>
      </w:pPr>
      <w:r w:rsidRPr="0009123A">
        <w:rPr>
          <w:rFonts w:ascii="Palatino Linotype" w:hAnsi="Palatino Linotype" w:cs="Arial"/>
          <w:szCs w:val="24"/>
        </w:rPr>
        <w:t>Derivado de lo transcrito con anterioridad, considero que la</w:t>
      </w:r>
      <w:r w:rsidR="00260D6C" w:rsidRPr="0009123A">
        <w:rPr>
          <w:rFonts w:ascii="Palatino Linotype" w:hAnsi="Palatino Linotype" w:cs="Arial"/>
          <w:szCs w:val="24"/>
        </w:rPr>
        <w:t xml:space="preserve"> incorporación de dicho argumento</w:t>
      </w:r>
      <w:r w:rsidRPr="0009123A">
        <w:rPr>
          <w:rFonts w:ascii="Palatino Linotype" w:hAnsi="Palatino Linotype" w:cs="Arial"/>
          <w:szCs w:val="24"/>
        </w:rPr>
        <w:t xml:space="preserve"> en la resolución en comento resulta a todas luces innecesari</w:t>
      </w:r>
      <w:r w:rsidR="00E61AB8" w:rsidRPr="0009123A">
        <w:rPr>
          <w:rFonts w:ascii="Palatino Linotype" w:hAnsi="Palatino Linotype" w:cs="Arial"/>
          <w:szCs w:val="24"/>
        </w:rPr>
        <w:t xml:space="preserve">o y además no da </w:t>
      </w:r>
      <w:r w:rsidRPr="0009123A">
        <w:rPr>
          <w:rFonts w:ascii="Palatino Linotype" w:hAnsi="Palatino Linotype" w:cs="Arial"/>
          <w:szCs w:val="24"/>
        </w:rPr>
        <w:t>lugar a invocarlos en el derecho humano fundamental de acceder a la información pública gubernamental.</w:t>
      </w:r>
      <w:r w:rsidRPr="0009123A">
        <w:rPr>
          <w:rFonts w:ascii="Palatino Linotype" w:eastAsia="Calibri" w:hAnsi="Palatino Linotype" w:cs="Times New Roman"/>
          <w:szCs w:val="24"/>
          <w:lang w:val="es-ES" w:eastAsia="es-ES"/>
        </w:rPr>
        <w:t xml:space="preserve"> Por lo que la mayoría consideró que la respuesta quedó firme ante la falta de impugnación respecto al resto de los requerimientos que no fueron </w:t>
      </w:r>
      <w:r w:rsidRPr="0009123A">
        <w:rPr>
          <w:rFonts w:ascii="Palatino Linotype" w:eastAsia="Calibri" w:hAnsi="Palatino Linotype" w:cs="Times New Roman"/>
          <w:szCs w:val="24"/>
          <w:lang w:val="es-ES" w:eastAsia="es-ES"/>
        </w:rPr>
        <w:lastRenderedPageBreak/>
        <w:t xml:space="preserve">manifestados en el recurso de revisión. En el presente asunto que nos ocupa, es de señalar que del análisis hecho a la resolución en comento, no se discute que el </w:t>
      </w:r>
      <w:r w:rsidRPr="0009123A">
        <w:rPr>
          <w:rFonts w:ascii="Palatino Linotype" w:eastAsia="Calibri" w:hAnsi="Palatino Linotype" w:cs="Times New Roman"/>
          <w:b/>
          <w:szCs w:val="24"/>
          <w:lang w:val="es-ES" w:eastAsia="es-ES"/>
        </w:rPr>
        <w:t>SUJETO OBLIGADO</w:t>
      </w:r>
      <w:r w:rsidRPr="0009123A">
        <w:rPr>
          <w:rFonts w:ascii="Palatino Linotype" w:eastAsia="Calibri" w:hAnsi="Palatino Linotype" w:cs="Times New Roman"/>
          <w:szCs w:val="24"/>
          <w:lang w:val="es-ES" w:eastAsia="es-ES"/>
        </w:rPr>
        <w:t xml:space="preserve"> ha dado respuesta a la solicitud de información</w:t>
      </w:r>
      <w:r w:rsidR="00260D6C" w:rsidRPr="0009123A">
        <w:rPr>
          <w:rFonts w:ascii="Palatino Linotype" w:eastAsia="Calibri" w:hAnsi="Palatino Linotype" w:cs="Times New Roman"/>
          <w:szCs w:val="24"/>
          <w:lang w:val="es-ES" w:eastAsia="es-ES"/>
        </w:rPr>
        <w:t xml:space="preserve"> en lo particular</w:t>
      </w:r>
      <w:r w:rsidRPr="0009123A">
        <w:rPr>
          <w:rFonts w:ascii="Palatino Linotype" w:eastAsia="Calibri" w:hAnsi="Palatino Linotype" w:cs="Times New Roman"/>
          <w:szCs w:val="24"/>
          <w:lang w:val="es-ES" w:eastAsia="es-ES"/>
        </w:rPr>
        <w:t>, t</w:t>
      </w:r>
      <w:r w:rsidR="00260D6C" w:rsidRPr="0009123A">
        <w:rPr>
          <w:rFonts w:ascii="Palatino Linotype" w:eastAsia="Calibri" w:hAnsi="Palatino Linotype" w:cs="Times New Roman"/>
          <w:szCs w:val="24"/>
          <w:lang w:val="es-ES" w:eastAsia="es-ES"/>
        </w:rPr>
        <w:t xml:space="preserve">an es así que al analizar la respuesta emitida se concluyó que colmó con </w:t>
      </w:r>
      <w:r w:rsidRPr="0009123A">
        <w:rPr>
          <w:rFonts w:ascii="Palatino Linotype" w:eastAsia="Calibri" w:hAnsi="Palatino Linotype" w:cs="Times New Roman"/>
          <w:szCs w:val="24"/>
          <w:lang w:val="es-ES" w:eastAsia="es-ES"/>
        </w:rPr>
        <w:t xml:space="preserve">el derecho de acceso a la información, </w:t>
      </w:r>
      <w:r w:rsidR="00260D6C" w:rsidRPr="0009123A">
        <w:rPr>
          <w:rFonts w:ascii="Palatino Linotype" w:eastAsia="Calibri" w:hAnsi="Palatino Linotype" w:cs="Times New Roman"/>
          <w:szCs w:val="24"/>
          <w:lang w:val="es-ES" w:eastAsia="es-ES"/>
        </w:rPr>
        <w:t xml:space="preserve">lo que en mi parecer </w:t>
      </w:r>
      <w:r w:rsidRPr="0009123A">
        <w:rPr>
          <w:rFonts w:ascii="Palatino Linotype" w:eastAsia="Calibri" w:hAnsi="Palatino Linotype" w:cs="Times New Roman"/>
          <w:szCs w:val="24"/>
          <w:lang w:val="es-ES" w:eastAsia="es-ES"/>
        </w:rPr>
        <w:t>considero, es innecesario señalar</w:t>
      </w:r>
      <w:r w:rsidR="00194B6A" w:rsidRPr="0009123A">
        <w:rPr>
          <w:rFonts w:ascii="Palatino Linotype" w:eastAsia="Calibri" w:hAnsi="Palatino Linotype" w:cs="Times New Roman"/>
          <w:szCs w:val="24"/>
          <w:lang w:val="es-ES" w:eastAsia="es-ES"/>
        </w:rPr>
        <w:t xml:space="preserve"> la figura de actos consentidos, éste instituto como órgano garante, es su deber velar por el cabal cumplimiento al derecho humano del acceso a la información, mas no limita</w:t>
      </w:r>
      <w:r w:rsidR="0001046D" w:rsidRPr="0009123A">
        <w:rPr>
          <w:rFonts w:ascii="Palatino Linotype" w:eastAsia="Calibri" w:hAnsi="Palatino Linotype" w:cs="Times New Roman"/>
          <w:szCs w:val="24"/>
          <w:lang w:val="es-ES" w:eastAsia="es-ES"/>
        </w:rPr>
        <w:t>rlo invocando el multicitado argumento de</w:t>
      </w:r>
      <w:r w:rsidR="00194B6A" w:rsidRPr="0009123A">
        <w:rPr>
          <w:rFonts w:ascii="Palatino Linotype" w:eastAsia="Calibri" w:hAnsi="Palatino Linotype" w:cs="Times New Roman"/>
          <w:szCs w:val="24"/>
          <w:lang w:val="es-ES" w:eastAsia="es-ES"/>
        </w:rPr>
        <w:t xml:space="preserve"> actos consentidos.</w:t>
      </w:r>
    </w:p>
    <w:p w:rsidR="0046491C" w:rsidRPr="0009123A" w:rsidRDefault="0046491C" w:rsidP="00E34F08">
      <w:pPr>
        <w:pStyle w:val="Ttulo1"/>
        <w:numPr>
          <w:ilvl w:val="0"/>
          <w:numId w:val="12"/>
        </w:numPr>
        <w:spacing w:line="360" w:lineRule="auto"/>
        <w:rPr>
          <w:rFonts w:ascii="Palatino Linotype" w:hAnsi="Palatino Linotype"/>
          <w:b/>
          <w:color w:val="auto"/>
          <w:sz w:val="24"/>
          <w:szCs w:val="24"/>
        </w:rPr>
      </w:pPr>
      <w:bookmarkStart w:id="2" w:name="_Toc534976973"/>
      <w:r w:rsidRPr="0009123A">
        <w:rPr>
          <w:rFonts w:ascii="Palatino Linotype" w:hAnsi="Palatino Linotype"/>
          <w:b/>
          <w:color w:val="auto"/>
          <w:sz w:val="24"/>
          <w:szCs w:val="24"/>
        </w:rPr>
        <w:t>Los actos consentidos no deben invocarse en el derecho fundamental de acceder a la información pública gubernamental.</w:t>
      </w:r>
      <w:bookmarkEnd w:id="2"/>
    </w:p>
    <w:p w:rsidR="00FC5012" w:rsidRPr="0009123A" w:rsidRDefault="00FC5012" w:rsidP="00FC5012">
      <w:pPr>
        <w:rPr>
          <w:rFonts w:ascii="Palatino Linotype" w:hAnsi="Palatino Linotype"/>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En la resolución se precisa, un criterio </w:t>
      </w:r>
      <w:r w:rsidR="00260D6C" w:rsidRPr="0009123A">
        <w:rPr>
          <w:rFonts w:ascii="Palatino Linotype" w:hAnsi="Palatino Linotype" w:cs="Arial"/>
          <w:sz w:val="24"/>
          <w:szCs w:val="24"/>
        </w:rPr>
        <w:t>denominado</w:t>
      </w:r>
      <w:r w:rsidRPr="0009123A">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9123A">
        <w:rPr>
          <w:rFonts w:ascii="Palatino Linotype" w:hAnsi="Palatino Linotype" w:cs="Arial"/>
          <w:b/>
          <w:sz w:val="24"/>
          <w:szCs w:val="24"/>
        </w:rPr>
        <w:t>acudir a un profesionista del derecho</w:t>
      </w:r>
      <w:r w:rsidRPr="0009123A">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w:t>
      </w:r>
      <w:r w:rsidRPr="0009123A">
        <w:rPr>
          <w:rFonts w:ascii="Palatino Linotype" w:hAnsi="Palatino Linotype" w:cs="Arial"/>
          <w:sz w:val="24"/>
          <w:szCs w:val="24"/>
        </w:rPr>
        <w:lastRenderedPageBreak/>
        <w:t>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9123A">
        <w:rPr>
          <w:rStyle w:val="Refdenotaalpie"/>
          <w:rFonts w:ascii="Palatino Linotype" w:hAnsi="Palatino Linotype" w:cs="Arial"/>
          <w:sz w:val="24"/>
          <w:szCs w:val="24"/>
        </w:rPr>
        <w:footnoteReference w:id="1"/>
      </w:r>
      <w:r w:rsidRPr="0009123A">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09123A">
        <w:rPr>
          <w:rStyle w:val="Refdenotaalpie"/>
          <w:rFonts w:ascii="Palatino Linotype" w:hAnsi="Palatino Linotype" w:cs="Arial"/>
          <w:sz w:val="24"/>
          <w:szCs w:val="24"/>
        </w:rPr>
        <w:footnoteReference w:id="2"/>
      </w:r>
      <w:r w:rsidRPr="0009123A">
        <w:rPr>
          <w:rFonts w:ascii="Palatino Linotype" w:hAnsi="Palatino Linotype" w:cs="Arial"/>
          <w:sz w:val="24"/>
          <w:szCs w:val="24"/>
        </w:rPr>
        <w:t xml:space="preserve"> </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Además es necesario precisar que el presente es un procedimiento cuasi jurisdiccional porque no hay partes en conflicto, por lo tanto lo que este Órgano Garante realice en materia de suplencia de la queja no afecta la igualdad de las </w:t>
      </w:r>
      <w:r w:rsidRPr="0009123A">
        <w:rPr>
          <w:rFonts w:ascii="Palatino Linotype" w:hAnsi="Palatino Linotype" w:cs="Arial"/>
          <w:sz w:val="24"/>
          <w:szCs w:val="24"/>
        </w:rPr>
        <w:lastRenderedPageBreak/>
        <w:t>partes sino procura el cumplimiento de los deberes de protección del derecho humano a partir del criterio que más le favorezca.</w:t>
      </w:r>
    </w:p>
    <w:p w:rsidR="0046491C" w:rsidRPr="0009123A" w:rsidRDefault="0046491C" w:rsidP="00E34F08">
      <w:pPr>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9123A">
        <w:rPr>
          <w:rFonts w:ascii="Palatino Linotype" w:hAnsi="Palatino Linotype" w:cs="Arial"/>
          <w:b/>
          <w:sz w:val="24"/>
          <w:szCs w:val="24"/>
        </w:rPr>
        <w:t>garantía de los derechos humanos</w:t>
      </w:r>
      <w:r w:rsidRPr="0009123A">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09123A" w:rsidRDefault="0046491C" w:rsidP="00E34F08">
      <w:pPr>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En este sentido el Dr. Miguel Carbonell ha señalado que:</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09123A">
        <w:rPr>
          <w:rFonts w:ascii="Palatino Linotype" w:hAnsi="Palatino Linotype" w:cs="Arial"/>
          <w:b/>
          <w:sz w:val="24"/>
          <w:szCs w:val="24"/>
        </w:rPr>
        <w:t>considerando que algún nivel de gobierno tenga obligaciones reforzadas hacia ciertos derechos.</w:t>
      </w:r>
      <w:r w:rsidRPr="0009123A">
        <w:rPr>
          <w:rFonts w:ascii="Palatino Linotype" w:hAnsi="Palatino Linotype" w:cs="Arial"/>
          <w:sz w:val="24"/>
          <w:szCs w:val="24"/>
        </w:rPr>
        <w:t xml:space="preserve"> A partir de tales deberes generales, podemos afirmar que las autoridades de todos los niveles de gobierno también tienen la </w:t>
      </w:r>
      <w:r w:rsidRPr="0009123A">
        <w:rPr>
          <w:rFonts w:ascii="Palatino Linotype" w:hAnsi="Palatino Linotype" w:cs="Arial"/>
          <w:sz w:val="24"/>
          <w:szCs w:val="24"/>
        </w:rPr>
        <w:lastRenderedPageBreak/>
        <w:t xml:space="preserve">obligación positiva de </w:t>
      </w:r>
      <w:r w:rsidRPr="0009123A">
        <w:rPr>
          <w:rFonts w:ascii="Palatino Linotype" w:hAnsi="Palatino Linotype" w:cs="Arial"/>
          <w:b/>
          <w:sz w:val="24"/>
          <w:szCs w:val="24"/>
        </w:rPr>
        <w:t>tomar todas las medidas que sean pertinentes para tutelar y hacer eficaz un derecho</w:t>
      </w:r>
      <w:r w:rsidRPr="0009123A">
        <w:rPr>
          <w:rFonts w:ascii="Palatino Linotype" w:hAnsi="Palatino Linotype" w:cs="Arial"/>
          <w:sz w:val="24"/>
          <w:szCs w:val="24"/>
        </w:rPr>
        <w:t>”.</w:t>
      </w:r>
      <w:r w:rsidRPr="0009123A">
        <w:rPr>
          <w:rStyle w:val="Refdenotaalpie"/>
          <w:rFonts w:ascii="Palatino Linotype" w:hAnsi="Palatino Linotype" w:cs="Arial"/>
          <w:sz w:val="24"/>
          <w:szCs w:val="24"/>
        </w:rPr>
        <w:footnoteReference w:id="3"/>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 Por lo que restringir el derecho de acceso a la información pública del particular</w:t>
      </w:r>
      <w:r w:rsidRPr="0009123A">
        <w:rPr>
          <w:rFonts w:ascii="Palatino Linotype" w:hAnsi="Palatino Linotype" w:cs="Arial"/>
          <w:b/>
          <w:sz w:val="24"/>
          <w:szCs w:val="24"/>
        </w:rPr>
        <w:t xml:space="preserve"> </w:t>
      </w:r>
      <w:r w:rsidRPr="0009123A">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09123A" w:rsidRDefault="0046491C" w:rsidP="00E34F08">
      <w:pPr>
        <w:pStyle w:val="Prrafodelista"/>
        <w:spacing w:after="0"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 w:val="24"/>
          <w:szCs w:val="24"/>
        </w:rPr>
      </w:pPr>
      <w:r w:rsidRPr="0009123A">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w:t>
      </w:r>
      <w:r w:rsidRPr="0009123A">
        <w:rPr>
          <w:rFonts w:ascii="Palatino Linotype" w:hAnsi="Palatino Linotype" w:cs="Arial"/>
          <w:sz w:val="24"/>
          <w:szCs w:val="24"/>
        </w:rPr>
        <w:lastRenderedPageBreak/>
        <w:t>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9123A">
        <w:rPr>
          <w:rStyle w:val="Refdenotaalpie"/>
          <w:rFonts w:ascii="Palatino Linotype" w:hAnsi="Palatino Linotype" w:cs="Arial"/>
          <w:sz w:val="24"/>
          <w:szCs w:val="24"/>
        </w:rPr>
        <w:footnoteReference w:id="4"/>
      </w:r>
      <w:r w:rsidRPr="0009123A">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9123A" w:rsidRDefault="0046491C"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w:t>
      </w:r>
      <w:r w:rsidRPr="0009123A">
        <w:rPr>
          <w:rFonts w:ascii="Palatino Linotype" w:hAnsi="Palatino Linotype" w:cs="Arial"/>
          <w:sz w:val="24"/>
          <w:szCs w:val="24"/>
        </w:rPr>
        <w:lastRenderedPageBreak/>
        <w:t xml:space="preserve">progresividad. De ahí que para determinar si una conducta específica de la autoridad importa violación a derechos fundamentales, debe evaluarse si se apega o no a la obligación de protegerlos. Ésta puede caracterizarse como </w:t>
      </w:r>
      <w:r w:rsidRPr="0009123A">
        <w:rPr>
          <w:rFonts w:ascii="Palatino Linotype" w:hAnsi="Palatino Linotype" w:cs="Arial"/>
          <w:b/>
          <w:sz w:val="24"/>
          <w:szCs w:val="24"/>
        </w:rPr>
        <w:t>el deber que tienen los órganos del Estado, dentro del margen de sus atribuciones, de prevenir violaciones a los derechos fundamentales,</w:t>
      </w:r>
      <w:r w:rsidRPr="0009123A">
        <w:rPr>
          <w:rFonts w:ascii="Palatino Linotype" w:hAnsi="Palatino Linotype" w:cs="Arial"/>
          <w:sz w:val="24"/>
          <w:szCs w:val="24"/>
        </w:rPr>
        <w:t xml:space="preserve"> ya sea que provengan de una autoridad o de algún particular y, por ello, </w:t>
      </w:r>
      <w:r w:rsidRPr="0009123A">
        <w:rPr>
          <w:rFonts w:ascii="Palatino Linotype" w:hAnsi="Palatino Linotype" w:cs="Arial"/>
          <w:b/>
          <w:sz w:val="24"/>
          <w:szCs w:val="24"/>
        </w:rPr>
        <w:t>debe contarse</w:t>
      </w:r>
      <w:r w:rsidRPr="0009123A">
        <w:rPr>
          <w:rFonts w:ascii="Palatino Linotype" w:hAnsi="Palatino Linotype" w:cs="Arial"/>
          <w:sz w:val="24"/>
          <w:szCs w:val="24"/>
        </w:rPr>
        <w:t xml:space="preserve"> tanto </w:t>
      </w:r>
      <w:r w:rsidRPr="0009123A">
        <w:rPr>
          <w:rFonts w:ascii="Palatino Linotype" w:hAnsi="Palatino Linotype" w:cs="Arial"/>
          <w:b/>
          <w:sz w:val="24"/>
          <w:szCs w:val="24"/>
        </w:rPr>
        <w:t>con mecanismos</w:t>
      </w:r>
      <w:r w:rsidRPr="0009123A">
        <w:rPr>
          <w:rFonts w:ascii="Palatino Linotype" w:hAnsi="Palatino Linotype" w:cs="Arial"/>
          <w:sz w:val="24"/>
          <w:szCs w:val="24"/>
        </w:rPr>
        <w:t xml:space="preserve"> de vigilancia como </w:t>
      </w:r>
      <w:r w:rsidRPr="0009123A">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09123A">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jc w:val="both"/>
        <w:rPr>
          <w:rFonts w:ascii="Palatino Linotype" w:hAnsi="Palatino Linotype" w:cs="Arial"/>
          <w:szCs w:val="24"/>
        </w:rPr>
      </w:pPr>
      <w:r w:rsidRPr="0009123A">
        <w:rPr>
          <w:rFonts w:ascii="Palatino Linotype" w:hAnsi="Palatino Linotype" w:cs="Arial"/>
          <w:szCs w:val="24"/>
        </w:rPr>
        <w:t xml:space="preserve"> Para el caso que nos ocupa y en general es innecesario incorporar en las resoluciones de un Órgano Garante como lo es el Instituto de Transparencia, Acceso a la Información </w:t>
      </w:r>
      <w:r w:rsidRPr="0009123A">
        <w:rPr>
          <w:rFonts w:ascii="Palatino Linotype" w:hAnsi="Palatino Linotype" w:cs="Arial"/>
          <w:szCs w:val="24"/>
        </w:rPr>
        <w:lastRenderedPageBreak/>
        <w:t xml:space="preserve">Pública y Protección de Datos Personales del Estado de México y  Municipios a los actos consentidos  toda vez que los particulares al no impugnar alguno de los requerimientos solicitados, y de la respuesta ofrecida por parte de los </w:t>
      </w:r>
      <w:r w:rsidRPr="0009123A">
        <w:rPr>
          <w:rFonts w:ascii="Palatino Linotype" w:hAnsi="Palatino Linotype" w:cs="Arial"/>
          <w:b/>
          <w:szCs w:val="24"/>
        </w:rPr>
        <w:t>SUJETOS OBLIGADOS</w:t>
      </w:r>
      <w:r w:rsidRPr="0009123A">
        <w:rPr>
          <w:rFonts w:ascii="Palatino Linotype" w:hAnsi="Palatino Linotype" w:cs="Arial"/>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F6F7E" w:rsidRPr="0009123A" w:rsidRDefault="00DF6F7E" w:rsidP="00E34F08">
      <w:pPr>
        <w:pStyle w:val="Prrafodelista"/>
        <w:spacing w:line="360" w:lineRule="auto"/>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284"/>
        <w:jc w:val="both"/>
        <w:rPr>
          <w:rFonts w:ascii="Palatino Linotype" w:hAnsi="Palatino Linotype" w:cs="Arial"/>
          <w:sz w:val="28"/>
          <w:szCs w:val="24"/>
        </w:rPr>
      </w:pPr>
      <w:r w:rsidRPr="0009123A">
        <w:rPr>
          <w:rFonts w:ascii="Palatino Linotype" w:hAnsi="Palatino Linotype" w:cs="Arial"/>
          <w:sz w:val="28"/>
          <w:szCs w:val="24"/>
        </w:rPr>
        <w:t xml:space="preserve"> </w:t>
      </w:r>
      <w:r w:rsidRPr="0009123A">
        <w:rPr>
          <w:rFonts w:ascii="Palatino Linotype" w:hAnsi="Palatino Linotype" w:cs="Arial"/>
          <w:sz w:val="24"/>
          <w:szCs w:val="24"/>
        </w:rPr>
        <w:t>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09123A" w:rsidRPr="0009123A" w:rsidRDefault="0009123A" w:rsidP="0009123A">
      <w:pPr>
        <w:pStyle w:val="Prrafodelista"/>
        <w:rPr>
          <w:rFonts w:ascii="Palatino Linotype" w:hAnsi="Palatino Linotype" w:cs="Arial"/>
          <w:sz w:val="24"/>
          <w:szCs w:val="24"/>
        </w:rPr>
      </w:pPr>
    </w:p>
    <w:p w:rsidR="0046491C" w:rsidRPr="0009123A" w:rsidRDefault="0046491C" w:rsidP="001574EC">
      <w:pPr>
        <w:spacing w:after="0" w:line="360" w:lineRule="auto"/>
        <w:ind w:left="567" w:right="618"/>
        <w:jc w:val="both"/>
        <w:rPr>
          <w:rFonts w:ascii="Palatino Linotype" w:hAnsi="Palatino Linotype" w:cs="Arial"/>
          <w:i/>
          <w:szCs w:val="24"/>
        </w:rPr>
      </w:pPr>
      <w:r w:rsidRPr="0009123A">
        <w:rPr>
          <w:rFonts w:ascii="Palatino Linotype" w:hAnsi="Palatino Linotype" w:cs="Arial"/>
          <w:i/>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w:t>
      </w:r>
      <w:r w:rsidRPr="0009123A">
        <w:rPr>
          <w:rFonts w:ascii="Palatino Linotype" w:hAnsi="Palatino Linotype" w:cs="Arial"/>
          <w:i/>
          <w:szCs w:val="24"/>
        </w:rPr>
        <w:lastRenderedPageBreak/>
        <w:t>generados por la heterogeneidad y ocasionalidad de las presiones sociales que se ejercen sobre el mismo”.</w:t>
      </w:r>
      <w:r w:rsidRPr="0009123A">
        <w:rPr>
          <w:rStyle w:val="Refdenotaalpie"/>
          <w:rFonts w:ascii="Palatino Linotype" w:hAnsi="Palatino Linotype" w:cs="Arial"/>
          <w:i/>
          <w:szCs w:val="24"/>
        </w:rPr>
        <w:footnoteReference w:id="5"/>
      </w:r>
    </w:p>
    <w:p w:rsidR="009156AC" w:rsidRPr="0009123A" w:rsidRDefault="009156AC" w:rsidP="00E34F08">
      <w:pPr>
        <w:spacing w:after="0" w:line="360" w:lineRule="auto"/>
        <w:ind w:left="1134" w:right="618"/>
        <w:jc w:val="both"/>
        <w:rPr>
          <w:rFonts w:ascii="Palatino Linotype" w:hAnsi="Palatino Linotype" w:cs="Arial"/>
          <w:i/>
          <w:sz w:val="24"/>
          <w:szCs w:val="24"/>
        </w:rPr>
      </w:pPr>
    </w:p>
    <w:p w:rsidR="0046491C" w:rsidRPr="0009123A" w:rsidRDefault="0046491C" w:rsidP="00E34F08">
      <w:pPr>
        <w:pStyle w:val="Prrafodelista"/>
        <w:numPr>
          <w:ilvl w:val="0"/>
          <w:numId w:val="1"/>
        </w:numPr>
        <w:spacing w:after="0"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r w:rsidRPr="0009123A">
        <w:rPr>
          <w:rFonts w:ascii="Palatino Linotype" w:hAnsi="Palatino Linotype" w:cs="Arial"/>
          <w:sz w:val="28"/>
          <w:szCs w:val="24"/>
        </w:rPr>
        <w:t>.</w:t>
      </w:r>
    </w:p>
    <w:p w:rsidR="0046491C" w:rsidRPr="0009123A" w:rsidRDefault="0046491C" w:rsidP="00E34F08">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Prrafodelista"/>
        <w:numPr>
          <w:ilvl w:val="0"/>
          <w:numId w:val="1"/>
        </w:numPr>
        <w:spacing w:line="360" w:lineRule="auto"/>
        <w:ind w:left="426" w:hanging="426"/>
        <w:jc w:val="both"/>
        <w:rPr>
          <w:rFonts w:ascii="Palatino Linotype" w:hAnsi="Palatino Linotype" w:cs="Arial"/>
          <w:sz w:val="24"/>
          <w:szCs w:val="24"/>
        </w:rPr>
      </w:pPr>
      <w:r w:rsidRPr="0009123A">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w:t>
      </w:r>
      <w:r w:rsidRPr="0009123A">
        <w:rPr>
          <w:rFonts w:ascii="Palatino Linotype" w:hAnsi="Palatino Linotype" w:cs="Arial"/>
          <w:sz w:val="24"/>
          <w:szCs w:val="24"/>
        </w:rPr>
        <w:lastRenderedPageBreak/>
        <w:t>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DF6F7E" w:rsidRPr="0009123A" w:rsidRDefault="00DF6F7E" w:rsidP="00E34F08">
      <w:pPr>
        <w:pStyle w:val="Prrafodelista"/>
        <w:spacing w:line="360" w:lineRule="auto"/>
        <w:jc w:val="both"/>
        <w:rPr>
          <w:rFonts w:ascii="Palatino Linotype" w:hAnsi="Palatino Linotype" w:cs="Arial"/>
          <w:sz w:val="24"/>
          <w:szCs w:val="24"/>
        </w:rPr>
      </w:pPr>
    </w:p>
    <w:p w:rsidR="0046491C" w:rsidRPr="0009123A" w:rsidRDefault="0046491C" w:rsidP="00E34F08">
      <w:pPr>
        <w:pStyle w:val="Prrafodelista"/>
        <w:numPr>
          <w:ilvl w:val="0"/>
          <w:numId w:val="1"/>
        </w:numPr>
        <w:spacing w:after="0" w:line="360" w:lineRule="auto"/>
        <w:ind w:left="426"/>
        <w:jc w:val="both"/>
        <w:rPr>
          <w:rFonts w:ascii="Palatino Linotype" w:hAnsi="Palatino Linotype" w:cs="Arial"/>
          <w:sz w:val="24"/>
          <w:szCs w:val="24"/>
        </w:rPr>
      </w:pPr>
      <w:r w:rsidRPr="0009123A">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09123A" w:rsidRPr="0009123A" w:rsidRDefault="0009123A" w:rsidP="00043805">
      <w:pPr>
        <w:spacing w:after="0" w:line="360" w:lineRule="auto"/>
        <w:jc w:val="both"/>
        <w:rPr>
          <w:rFonts w:ascii="Palatino Linotype" w:hAnsi="Palatino Linotype" w:cs="Arial"/>
          <w:sz w:val="24"/>
          <w:szCs w:val="24"/>
        </w:rPr>
      </w:pPr>
    </w:p>
    <w:p w:rsidR="009A5396" w:rsidRDefault="009A5396" w:rsidP="00043805">
      <w:pPr>
        <w:spacing w:after="0" w:line="360" w:lineRule="auto"/>
        <w:jc w:val="both"/>
        <w:rPr>
          <w:rFonts w:ascii="Palatino Linotype" w:hAnsi="Palatino Linotype" w:cs="Arial"/>
          <w:sz w:val="24"/>
          <w:szCs w:val="24"/>
        </w:rPr>
      </w:pPr>
    </w:p>
    <w:p w:rsidR="0009123A" w:rsidRDefault="0009123A" w:rsidP="00043805">
      <w:pPr>
        <w:spacing w:after="0" w:line="360" w:lineRule="auto"/>
        <w:jc w:val="both"/>
        <w:rPr>
          <w:rFonts w:ascii="Palatino Linotype" w:hAnsi="Palatino Linotype" w:cs="Arial"/>
          <w:sz w:val="24"/>
          <w:szCs w:val="24"/>
        </w:rPr>
      </w:pPr>
    </w:p>
    <w:p w:rsidR="0009123A" w:rsidRPr="0009123A" w:rsidRDefault="0009123A" w:rsidP="00043805">
      <w:pPr>
        <w:spacing w:after="0" w:line="360" w:lineRule="auto"/>
        <w:jc w:val="both"/>
        <w:rPr>
          <w:rFonts w:ascii="Palatino Linotype" w:hAnsi="Palatino Linotype" w:cs="Arial"/>
          <w:sz w:val="24"/>
          <w:szCs w:val="24"/>
        </w:rPr>
      </w:pPr>
      <w:bookmarkStart w:id="3" w:name="_GoBack"/>
      <w:bookmarkEnd w:id="3"/>
    </w:p>
    <w:p w:rsidR="0009123A" w:rsidRPr="0009123A" w:rsidRDefault="0009123A" w:rsidP="00702BD9">
      <w:pPr>
        <w:pStyle w:val="Prrafodelista"/>
        <w:spacing w:after="0" w:line="360" w:lineRule="auto"/>
        <w:ind w:left="426"/>
        <w:jc w:val="both"/>
        <w:rPr>
          <w:rFonts w:ascii="Palatino Linotype" w:hAnsi="Palatino Linotype" w:cs="Arial"/>
          <w:sz w:val="24"/>
          <w:szCs w:val="24"/>
        </w:rPr>
      </w:pPr>
    </w:p>
    <w:p w:rsidR="0046491C" w:rsidRPr="0009123A" w:rsidRDefault="0046491C" w:rsidP="00E34F08">
      <w:pPr>
        <w:pStyle w:val="Sinespaciado"/>
        <w:spacing w:line="360" w:lineRule="auto"/>
        <w:jc w:val="center"/>
        <w:rPr>
          <w:rFonts w:ascii="Palatino Linotype" w:hAnsi="Palatino Linotype"/>
          <w:b/>
          <w:sz w:val="24"/>
          <w:szCs w:val="24"/>
        </w:rPr>
      </w:pPr>
      <w:r w:rsidRPr="0009123A">
        <w:rPr>
          <w:rFonts w:ascii="Palatino Linotype" w:hAnsi="Palatino Linotype"/>
          <w:b/>
          <w:sz w:val="24"/>
          <w:szCs w:val="24"/>
        </w:rPr>
        <w:t>JOSÉ GUADALUPE LUNA HERNÁNDEZ</w:t>
      </w:r>
    </w:p>
    <w:p w:rsidR="0046491C" w:rsidRPr="0009123A" w:rsidRDefault="0046491C" w:rsidP="00E34F08">
      <w:pPr>
        <w:spacing w:line="360" w:lineRule="auto"/>
        <w:jc w:val="center"/>
        <w:rPr>
          <w:rFonts w:ascii="Palatino Linotype" w:hAnsi="Palatino Linotype"/>
          <w:sz w:val="24"/>
          <w:szCs w:val="24"/>
        </w:rPr>
      </w:pPr>
      <w:r w:rsidRPr="0009123A">
        <w:rPr>
          <w:rFonts w:ascii="Palatino Linotype" w:hAnsi="Palatino Linotype"/>
          <w:b/>
          <w:sz w:val="24"/>
          <w:szCs w:val="24"/>
        </w:rPr>
        <w:t>COMISIONADO</w:t>
      </w:r>
    </w:p>
    <w:p w:rsidR="00D33AF9" w:rsidRPr="0009123A" w:rsidRDefault="00D33AF9" w:rsidP="00E34F08">
      <w:pPr>
        <w:spacing w:line="360" w:lineRule="auto"/>
        <w:jc w:val="center"/>
        <w:rPr>
          <w:rFonts w:ascii="Palatino Linotype" w:hAnsi="Palatino Linotype"/>
          <w:b/>
          <w:sz w:val="24"/>
          <w:szCs w:val="24"/>
        </w:rPr>
      </w:pPr>
      <w:r w:rsidRPr="0009123A">
        <w:rPr>
          <w:rFonts w:ascii="Palatino Linotype" w:hAnsi="Palatino Linotype"/>
          <w:b/>
          <w:sz w:val="24"/>
          <w:szCs w:val="24"/>
        </w:rPr>
        <w:t>(Rúbrica)</w:t>
      </w:r>
    </w:p>
    <w:p w:rsidR="00575478" w:rsidRPr="0009123A" w:rsidRDefault="00575478" w:rsidP="00575478">
      <w:pPr>
        <w:spacing w:line="360" w:lineRule="auto"/>
        <w:rPr>
          <w:rFonts w:ascii="Palatino Linotype" w:hAnsi="Palatino Linotype"/>
          <w:b/>
          <w:sz w:val="24"/>
          <w:szCs w:val="24"/>
        </w:rPr>
      </w:pPr>
      <w:r w:rsidRPr="0009123A">
        <w:rPr>
          <w:rFonts w:ascii="Palatino Linotype" w:hAnsi="Palatino Linotype"/>
          <w:b/>
          <w:sz w:val="24"/>
          <w:szCs w:val="24"/>
        </w:rPr>
        <w:t>JGLH/ADM.</w:t>
      </w:r>
    </w:p>
    <w:sectPr w:rsidR="00575478" w:rsidRPr="0009123A" w:rsidSect="00DA55B8">
      <w:headerReference w:type="even" r:id="rId8"/>
      <w:headerReference w:type="default" r:id="rId9"/>
      <w:footerReference w:type="even" r:id="rId10"/>
      <w:footerReference w:type="default" r:id="rId11"/>
      <w:headerReference w:type="first" r:id="rId12"/>
      <w:footerReference w:type="first" r:id="rId13"/>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9C6" w:rsidRDefault="000C39C6" w:rsidP="00E706DA">
      <w:pPr>
        <w:spacing w:after="0" w:line="240" w:lineRule="auto"/>
      </w:pPr>
      <w:r>
        <w:separator/>
      </w:r>
    </w:p>
  </w:endnote>
  <w:endnote w:type="continuationSeparator" w:id="0">
    <w:p w:rsidR="000C39C6" w:rsidRDefault="000C39C6"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0C39C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09123A">
              <w:rPr>
                <w:rFonts w:ascii="Palatino Linotype" w:hAnsi="Palatino Linotype"/>
                <w:b/>
                <w:bCs/>
                <w:noProof/>
                <w:sz w:val="20"/>
                <w:szCs w:val="20"/>
              </w:rPr>
              <w:t>15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09123A">
              <w:rPr>
                <w:rFonts w:ascii="Palatino Linotype" w:hAnsi="Palatino Linotype"/>
                <w:b/>
                <w:bCs/>
                <w:noProof/>
                <w:sz w:val="20"/>
                <w:szCs w:val="20"/>
              </w:rPr>
              <w:t>16</w:t>
            </w:r>
            <w:r w:rsidRPr="0052203D">
              <w:rPr>
                <w:rFonts w:ascii="Palatino Linotype" w:hAnsi="Palatino Linotype"/>
                <w:b/>
                <w:bCs/>
                <w:sz w:val="20"/>
                <w:szCs w:val="20"/>
              </w:rPr>
              <w:fldChar w:fldCharType="end"/>
            </w:r>
          </w:p>
        </w:sdtContent>
      </w:sdt>
    </w:sdtContent>
  </w:sdt>
  <w:p w:rsidR="00951E8B" w:rsidRDefault="000C39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0C39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9C6" w:rsidRDefault="000C39C6" w:rsidP="00E706DA">
      <w:pPr>
        <w:spacing w:after="0" w:line="240" w:lineRule="auto"/>
      </w:pPr>
      <w:r>
        <w:separator/>
      </w:r>
    </w:p>
  </w:footnote>
  <w:footnote w:type="continuationSeparator" w:id="0">
    <w:p w:rsidR="000C39C6" w:rsidRDefault="000C39C6"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46491C" w:rsidRDefault="0046491C"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C39C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C39C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0C39C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0C39C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33656"/>
    <w:multiLevelType w:val="hybridMultilevel"/>
    <w:tmpl w:val="64B288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85593A"/>
    <w:multiLevelType w:val="hybridMultilevel"/>
    <w:tmpl w:val="1AD49F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nsid w:val="1FFA6731"/>
    <w:multiLevelType w:val="hybridMultilevel"/>
    <w:tmpl w:val="2B28E2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23331724"/>
    <w:multiLevelType w:val="hybridMultilevel"/>
    <w:tmpl w:val="FCFE28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A0C7A"/>
    <w:multiLevelType w:val="hybridMultilevel"/>
    <w:tmpl w:val="642EA64C"/>
    <w:lvl w:ilvl="0" w:tplc="224E67B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03E5810"/>
    <w:multiLevelType w:val="hybridMultilevel"/>
    <w:tmpl w:val="78A241F8"/>
    <w:lvl w:ilvl="0" w:tplc="CACA3A86">
      <w:start w:val="1"/>
      <w:numFmt w:val="upperRoman"/>
      <w:lvlText w:val="%1."/>
      <w:lvlJc w:val="left"/>
      <w:pPr>
        <w:ind w:left="1080" w:hanging="720"/>
      </w:pPr>
      <w:rPr>
        <w:rFonts w:hint="default"/>
      </w:rPr>
    </w:lvl>
    <w:lvl w:ilvl="1" w:tplc="51582276">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BA140E"/>
    <w:multiLevelType w:val="hybridMultilevel"/>
    <w:tmpl w:val="17F45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537B6A"/>
    <w:multiLevelType w:val="hybridMultilevel"/>
    <w:tmpl w:val="80C6A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9147BFF"/>
    <w:multiLevelType w:val="hybridMultilevel"/>
    <w:tmpl w:val="8AA4582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A239B5"/>
    <w:multiLevelType w:val="hybridMultilevel"/>
    <w:tmpl w:val="38A6C9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8"/>
  </w:num>
  <w:num w:numId="4">
    <w:abstractNumId w:val="10"/>
  </w:num>
  <w:num w:numId="5">
    <w:abstractNumId w:val="12"/>
  </w:num>
  <w:num w:numId="6">
    <w:abstractNumId w:val="14"/>
  </w:num>
  <w:num w:numId="7">
    <w:abstractNumId w:val="18"/>
  </w:num>
  <w:num w:numId="8">
    <w:abstractNumId w:val="16"/>
  </w:num>
  <w:num w:numId="9">
    <w:abstractNumId w:val="21"/>
  </w:num>
  <w:num w:numId="10">
    <w:abstractNumId w:val="3"/>
  </w:num>
  <w:num w:numId="11">
    <w:abstractNumId w:val="20"/>
  </w:num>
  <w:num w:numId="12">
    <w:abstractNumId w:val="9"/>
  </w:num>
  <w:num w:numId="13">
    <w:abstractNumId w:val="4"/>
  </w:num>
  <w:num w:numId="14">
    <w:abstractNumId w:val="7"/>
  </w:num>
  <w:num w:numId="15">
    <w:abstractNumId w:val="15"/>
  </w:num>
  <w:num w:numId="16">
    <w:abstractNumId w:val="1"/>
  </w:num>
  <w:num w:numId="17">
    <w:abstractNumId w:val="0"/>
  </w:num>
  <w:num w:numId="18">
    <w:abstractNumId w:val="11"/>
  </w:num>
  <w:num w:numId="19">
    <w:abstractNumId w:val="5"/>
  </w:num>
  <w:num w:numId="20">
    <w:abstractNumId w:val="17"/>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1046D"/>
    <w:rsid w:val="00016A9F"/>
    <w:rsid w:val="00043805"/>
    <w:rsid w:val="00072966"/>
    <w:rsid w:val="00073F0D"/>
    <w:rsid w:val="00085188"/>
    <w:rsid w:val="0009123A"/>
    <w:rsid w:val="000951B4"/>
    <w:rsid w:val="000A77B5"/>
    <w:rsid w:val="000A7B66"/>
    <w:rsid w:val="000C39C6"/>
    <w:rsid w:val="000D1743"/>
    <w:rsid w:val="000F6CBB"/>
    <w:rsid w:val="0010615C"/>
    <w:rsid w:val="001102C3"/>
    <w:rsid w:val="00122625"/>
    <w:rsid w:val="001574EC"/>
    <w:rsid w:val="00194B6A"/>
    <w:rsid w:val="001A51F3"/>
    <w:rsid w:val="001C545F"/>
    <w:rsid w:val="001C62B2"/>
    <w:rsid w:val="001D3F34"/>
    <w:rsid w:val="001E0928"/>
    <w:rsid w:val="0020315F"/>
    <w:rsid w:val="002036ED"/>
    <w:rsid w:val="00214EC5"/>
    <w:rsid w:val="00225026"/>
    <w:rsid w:val="00260D6C"/>
    <w:rsid w:val="002620E9"/>
    <w:rsid w:val="00281310"/>
    <w:rsid w:val="002C1F75"/>
    <w:rsid w:val="002D6857"/>
    <w:rsid w:val="002E1956"/>
    <w:rsid w:val="00333DB9"/>
    <w:rsid w:val="00343601"/>
    <w:rsid w:val="00346358"/>
    <w:rsid w:val="00346DBD"/>
    <w:rsid w:val="00347624"/>
    <w:rsid w:val="00367E00"/>
    <w:rsid w:val="003705BB"/>
    <w:rsid w:val="003747A5"/>
    <w:rsid w:val="00386688"/>
    <w:rsid w:val="00393E96"/>
    <w:rsid w:val="003C4F79"/>
    <w:rsid w:val="003D7B9E"/>
    <w:rsid w:val="00412952"/>
    <w:rsid w:val="00424DE3"/>
    <w:rsid w:val="00444048"/>
    <w:rsid w:val="00452F18"/>
    <w:rsid w:val="0046491C"/>
    <w:rsid w:val="00471ACB"/>
    <w:rsid w:val="0048490F"/>
    <w:rsid w:val="004C6BBF"/>
    <w:rsid w:val="00525DF2"/>
    <w:rsid w:val="00532410"/>
    <w:rsid w:val="00575478"/>
    <w:rsid w:val="005A3267"/>
    <w:rsid w:val="005D4F74"/>
    <w:rsid w:val="005F6A90"/>
    <w:rsid w:val="00634736"/>
    <w:rsid w:val="00643C7E"/>
    <w:rsid w:val="006728FD"/>
    <w:rsid w:val="0069498B"/>
    <w:rsid w:val="006D268B"/>
    <w:rsid w:val="00702BD9"/>
    <w:rsid w:val="00717C0D"/>
    <w:rsid w:val="0072136B"/>
    <w:rsid w:val="0076241F"/>
    <w:rsid w:val="00770016"/>
    <w:rsid w:val="00777181"/>
    <w:rsid w:val="00790E37"/>
    <w:rsid w:val="007A7FAD"/>
    <w:rsid w:val="007C43FB"/>
    <w:rsid w:val="007D1488"/>
    <w:rsid w:val="00814E97"/>
    <w:rsid w:val="00817341"/>
    <w:rsid w:val="0082452E"/>
    <w:rsid w:val="008361CA"/>
    <w:rsid w:val="008460C4"/>
    <w:rsid w:val="00847389"/>
    <w:rsid w:val="00850252"/>
    <w:rsid w:val="00856FA1"/>
    <w:rsid w:val="008702E8"/>
    <w:rsid w:val="008822B3"/>
    <w:rsid w:val="008858F1"/>
    <w:rsid w:val="008911CF"/>
    <w:rsid w:val="008977B4"/>
    <w:rsid w:val="008B03B6"/>
    <w:rsid w:val="008E1DCC"/>
    <w:rsid w:val="008F3E81"/>
    <w:rsid w:val="00900E75"/>
    <w:rsid w:val="00902248"/>
    <w:rsid w:val="009156AC"/>
    <w:rsid w:val="00927C4F"/>
    <w:rsid w:val="00937AD9"/>
    <w:rsid w:val="00937D7D"/>
    <w:rsid w:val="0094239C"/>
    <w:rsid w:val="00950792"/>
    <w:rsid w:val="009A3355"/>
    <w:rsid w:val="009A5396"/>
    <w:rsid w:val="009C4EF6"/>
    <w:rsid w:val="009D2892"/>
    <w:rsid w:val="00A043A9"/>
    <w:rsid w:val="00A626F8"/>
    <w:rsid w:val="00A63717"/>
    <w:rsid w:val="00A94632"/>
    <w:rsid w:val="00AA49F3"/>
    <w:rsid w:val="00AB023D"/>
    <w:rsid w:val="00AB126B"/>
    <w:rsid w:val="00AC381E"/>
    <w:rsid w:val="00AE4797"/>
    <w:rsid w:val="00AE5BD5"/>
    <w:rsid w:val="00B120CA"/>
    <w:rsid w:val="00B62245"/>
    <w:rsid w:val="00B8686D"/>
    <w:rsid w:val="00B951FF"/>
    <w:rsid w:val="00BC7B0C"/>
    <w:rsid w:val="00BF2070"/>
    <w:rsid w:val="00BF3534"/>
    <w:rsid w:val="00C3709F"/>
    <w:rsid w:val="00C41CE1"/>
    <w:rsid w:val="00C7250F"/>
    <w:rsid w:val="00C872FA"/>
    <w:rsid w:val="00C901A6"/>
    <w:rsid w:val="00CE0823"/>
    <w:rsid w:val="00CF2F92"/>
    <w:rsid w:val="00CF52FE"/>
    <w:rsid w:val="00D1242B"/>
    <w:rsid w:val="00D15396"/>
    <w:rsid w:val="00D23B79"/>
    <w:rsid w:val="00D33AF9"/>
    <w:rsid w:val="00D363F7"/>
    <w:rsid w:val="00D5296C"/>
    <w:rsid w:val="00D72985"/>
    <w:rsid w:val="00D7508B"/>
    <w:rsid w:val="00DB7D4E"/>
    <w:rsid w:val="00DF6F7E"/>
    <w:rsid w:val="00E34F08"/>
    <w:rsid w:val="00E61AB8"/>
    <w:rsid w:val="00E706DA"/>
    <w:rsid w:val="00E83E93"/>
    <w:rsid w:val="00E90EB5"/>
    <w:rsid w:val="00E94FBF"/>
    <w:rsid w:val="00EF0C2D"/>
    <w:rsid w:val="00F45161"/>
    <w:rsid w:val="00F46E78"/>
    <w:rsid w:val="00F5642A"/>
    <w:rsid w:val="00F747F8"/>
    <w:rsid w:val="00F857BC"/>
    <w:rsid w:val="00FC5012"/>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CCC4B86-6235-46F3-BD8F-C40EE9AF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83E93"/>
    <w:pPr>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666277299">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064F6-19E5-4601-9EDF-FDF3C75D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3448</Words>
  <Characters>18967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2017-05-22T19:49:00Z</cp:lastPrinted>
  <dcterms:created xsi:type="dcterms:W3CDTF">2019-02-05T16:56:00Z</dcterms:created>
  <dcterms:modified xsi:type="dcterms:W3CDTF">2019-02-05T17:17:00Z</dcterms:modified>
</cp:coreProperties>
</file>